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9841934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6"/>
          <w:szCs w:val="72"/>
          <w:lang w:val="en-US" w:eastAsia="ja-JP"/>
        </w:rPr>
      </w:sdtEndPr>
      <w:sdtContent>
        <w:p w:rsidR="001D7AF9" w:rsidRDefault="001D7AF9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814C9F" wp14:editId="0C654D2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023870" cy="8715375"/>
                    <wp:effectExtent l="0" t="0" r="24130" b="28575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3870" cy="87153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38.1pt;height:686.25pt;z-index:251659264;visibility:visible;mso-wrap-style:square;mso-width-percent:0;mso-height-percent:0;mso-left-percent:440;mso-top-percent:25;mso-wrap-distance-left:9pt;mso-wrap-distance-top:0;mso-wrap-distance-right:9pt;mso-wrap-distance-bottom:0;mso-position-horizontal-relative:page;mso-position-vertical-relative:page;mso-width-percent:0;mso-height-percent: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0AE3B4D" wp14:editId="3725A60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D7AF9" w:rsidRDefault="001D7AF9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AQFAQNlAIAAHk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1D7AF9" w:rsidRDefault="001D7AF9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5E5493" wp14:editId="4FDF530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D7AF9" w:rsidRPr="001D7AF9" w:rsidRDefault="003871DA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D7AF9" w:rsidRPr="001D7AF9"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201</w:t>
                                    </w:r>
                                    <w:r w:rsidR="009A3EAF"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1D7AF9" w:rsidRPr="001D7AF9" w:rsidRDefault="003871DA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1D7AF9" w:rsidRPr="001D7AF9"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>201</w:t>
                              </w:r>
                              <w:r w:rsidR="009A3EAF"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>9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D9974DE" wp14:editId="7325452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1D7AF9" w:rsidRDefault="00B55EF6">
          <w:pPr>
            <w:rPr>
              <w:rFonts w:asciiTheme="majorHAnsi" w:eastAsiaTheme="majorEastAsia" w:hAnsiTheme="majorHAnsi" w:cstheme="majorBidi"/>
              <w:sz w:val="76"/>
              <w:szCs w:val="72"/>
              <w:lang w:val="en-US" w:eastAsia="ja-JP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E76F76" wp14:editId="14ABCAC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175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175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50"/>
                                    <w:szCs w:val="50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D7AF9" w:rsidRPr="001D7AF9" w:rsidRDefault="001D7AF9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 w:rsidRPr="001D7AF9"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0"/>
                                        <w:szCs w:val="50"/>
                                      </w:rPr>
                                      <w:t>ΕΤΗΣΙΑ ΕΚΘΕΣΗ ΕΓΓΕΓΡΑΜΜΕΝΗΣ ΑΝΕΡΓΙΑΣ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D7AF9" w:rsidRPr="001D7AF9" w:rsidRDefault="001D7AF9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>ΚΑΙ ΕΤΗΣΙΑ ΣΤΑΤΙΣΤΙΚΑ ΣΤΟΙΧΕΙΑ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0.25pt;height:194.9pt;z-index:251661312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50"/>
                              <w:szCs w:val="50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D7AF9" w:rsidRPr="001D7AF9" w:rsidRDefault="001D7AF9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</w:pPr>
                              <w:r w:rsidRPr="001D7AF9"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0"/>
                                  <w:szCs w:val="50"/>
                                </w:rPr>
                                <w:t>ΕΤΗΣΙΑ ΕΚΘΕΣΗ ΕΓΓΕΓΡΑΜΜΕΝΗΣ ΑΝΕΡΓΙΑΣ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1D7AF9" w:rsidRPr="001D7AF9" w:rsidRDefault="001D7AF9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>ΚΑΙ ΕΤΗΣΙΑ ΣΤΑΤΙΣΤΙΚΑ ΣΤΟΙΧΕΙΑ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D7AF9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18C0BFC" wp14:editId="74B4672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wp:positionV relativeFrom="page">
                      <wp:posOffset>7047230</wp:posOffset>
                    </wp:positionV>
                    <wp:extent cx="2686050" cy="1682750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86050" cy="1682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D7AF9" w:rsidRPr="00B55EF6" w:rsidRDefault="001D7AF9">
                                <w:pPr>
                                  <w:pStyle w:val="NoSpacing"/>
                                  <w:rPr>
                                    <w:b/>
                                    <w:noProof/>
                                    <w:color w:val="1F497D" w:themeColor="text2"/>
                                    <w:lang w:val="el-GR"/>
                                  </w:rPr>
                                </w:pPr>
                                <w:r w:rsidRPr="00B55EF6">
                                  <w:rPr>
                                    <w:b/>
                                    <w:noProof/>
                                    <w:color w:val="1F497D" w:themeColor="text2"/>
                                    <w:lang w:val="el-GR"/>
                                  </w:rPr>
                                  <w:t>ΠΑΡΑΤΗΡΗΤΗΡΙΟ ΑΓΟΡΑΣ ΕΡΓΑΣΙΑΣ</w:t>
                                </w:r>
                              </w:p>
                              <w:p w:rsidR="001D7AF9" w:rsidRDefault="001D7AF9">
                                <w:pPr>
                                  <w:pStyle w:val="NoSpacing"/>
                                  <w:rPr>
                                    <w:b/>
                                    <w:noProof/>
                                    <w:color w:val="1F497D" w:themeColor="text2"/>
                                    <w:lang w:val="el-GR"/>
                                  </w:rPr>
                                </w:pPr>
                                <w:r w:rsidRPr="00B55EF6">
                                  <w:rPr>
                                    <w:b/>
                                    <w:noProof/>
                                    <w:color w:val="1F497D" w:themeColor="text2"/>
                                    <w:lang w:val="el-GR"/>
                                  </w:rPr>
                                  <w:t>ΤΜΗΜΑ ΕΡΓΑΣΙΑΣ</w:t>
                                </w:r>
                              </w:p>
                              <w:p w:rsidR="00B55EF6" w:rsidRDefault="00B55EF6">
                                <w:pPr>
                                  <w:pStyle w:val="NoSpacing"/>
                                  <w:rPr>
                                    <w:b/>
                                    <w:noProof/>
                                    <w:color w:val="1F497D" w:themeColor="text2"/>
                                    <w:lang w:val="el-GR"/>
                                  </w:rPr>
                                </w:pPr>
                              </w:p>
                              <w:p w:rsidR="00B55EF6" w:rsidRPr="00B55EF6" w:rsidRDefault="00B55EF6">
                                <w:pPr>
                                  <w:pStyle w:val="NoSpacing"/>
                                  <w:rPr>
                                    <w:b/>
                                    <w:noProof/>
                                    <w:color w:val="1F497D" w:themeColor="text2"/>
                                    <w:lang w:val="el-GR"/>
                                  </w:rPr>
                                </w:pPr>
                              </w:p>
                              <w:p w:rsidR="001D7AF9" w:rsidRPr="00B55EF6" w:rsidRDefault="001D7AF9">
                                <w:pPr>
                                  <w:pStyle w:val="NoSpacing"/>
                                  <w:rPr>
                                    <w:b/>
                                    <w:noProof/>
                                    <w:color w:val="1F497D" w:themeColor="text2"/>
                                    <w:lang w:val="el-GR"/>
                                  </w:rPr>
                                </w:pPr>
                                <w:r w:rsidRPr="00B55EF6">
                                  <w:rPr>
                                    <w:b/>
                                    <w:noProof/>
                                    <w:color w:val="1F497D" w:themeColor="text2"/>
                                    <w:lang w:val="el-GR"/>
                                  </w:rPr>
                                  <w:t xml:space="preserve">Υπουργείο Εργασίας, Πρόνοιας και </w:t>
                                </w:r>
                                <w:r w:rsidR="00B55EF6" w:rsidRPr="00B55EF6">
                                  <w:rPr>
                                    <w:b/>
                                    <w:noProof/>
                                    <w:color w:val="1F497D" w:themeColor="text2"/>
                                    <w:lang w:val="el-GR"/>
                                  </w:rPr>
                                  <w:t>Κοινωνικών Ασφαλίσεων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29" type="#_x0000_t202" style="position:absolute;margin-left:0;margin-top:554.9pt;width:211.5pt;height:132.5pt;z-index:251664384;visibility:visible;mso-wrap-style:square;mso-width-percent:0;mso-height-percent:0;mso-left-percent:455;mso-wrap-distance-left:9pt;mso-wrap-distance-top:0;mso-wrap-distance-right:9pt;mso-wrap-distance-bottom:0;mso-position-horizontal-relative:page;mso-position-vertical:absolute;mso-position-vertical-relative:page;mso-width-percent:0;mso-height-percent:0;mso-left-percent:455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" filled="f" stroked="f" strokeweight=".5pt">
                    <v:textbox>
                      <w:txbxContent>
                        <w:p w:rsidR="001D7AF9" w:rsidRPr="00B55EF6" w:rsidRDefault="001D7AF9">
                          <w:pPr>
                            <w:pStyle w:val="NoSpacing"/>
                            <w:rPr>
                              <w:b/>
                              <w:noProof/>
                              <w:color w:val="1F497D" w:themeColor="text2"/>
                              <w:lang w:val="el-GR"/>
                            </w:rPr>
                          </w:pPr>
                          <w:r w:rsidRPr="00B55EF6">
                            <w:rPr>
                              <w:b/>
                              <w:noProof/>
                              <w:color w:val="1F497D" w:themeColor="text2"/>
                              <w:lang w:val="el-GR"/>
                            </w:rPr>
                            <w:t>ΠΑΡΑΤΗΡΗΤΗΡΙΟ ΑΓΟΡΑΣ ΕΡΓΑΣΙΑΣ</w:t>
                          </w:r>
                        </w:p>
                        <w:p w:rsidR="001D7AF9" w:rsidRDefault="001D7AF9">
                          <w:pPr>
                            <w:pStyle w:val="NoSpacing"/>
                            <w:rPr>
                              <w:b/>
                              <w:noProof/>
                              <w:color w:val="1F497D" w:themeColor="text2"/>
                              <w:lang w:val="el-GR"/>
                            </w:rPr>
                          </w:pPr>
                          <w:r w:rsidRPr="00B55EF6">
                            <w:rPr>
                              <w:b/>
                              <w:noProof/>
                              <w:color w:val="1F497D" w:themeColor="text2"/>
                              <w:lang w:val="el-GR"/>
                            </w:rPr>
                            <w:t>ΤΜΗΜΑ ΕΡΓΑΣΙΑΣ</w:t>
                          </w:r>
                        </w:p>
                        <w:p w:rsidR="00B55EF6" w:rsidRDefault="00B55EF6">
                          <w:pPr>
                            <w:pStyle w:val="NoSpacing"/>
                            <w:rPr>
                              <w:b/>
                              <w:noProof/>
                              <w:color w:val="1F497D" w:themeColor="text2"/>
                              <w:lang w:val="el-GR"/>
                            </w:rPr>
                          </w:pPr>
                        </w:p>
                        <w:p w:rsidR="00B55EF6" w:rsidRPr="00B55EF6" w:rsidRDefault="00B55EF6">
                          <w:pPr>
                            <w:pStyle w:val="NoSpacing"/>
                            <w:rPr>
                              <w:b/>
                              <w:noProof/>
                              <w:color w:val="1F497D" w:themeColor="text2"/>
                              <w:lang w:val="el-GR"/>
                            </w:rPr>
                          </w:pPr>
                        </w:p>
                        <w:p w:rsidR="001D7AF9" w:rsidRPr="00B55EF6" w:rsidRDefault="001D7AF9">
                          <w:pPr>
                            <w:pStyle w:val="NoSpacing"/>
                            <w:rPr>
                              <w:b/>
                              <w:noProof/>
                              <w:color w:val="1F497D" w:themeColor="text2"/>
                              <w:lang w:val="el-GR"/>
                            </w:rPr>
                          </w:pPr>
                          <w:r w:rsidRPr="00B55EF6">
                            <w:rPr>
                              <w:b/>
                              <w:noProof/>
                              <w:color w:val="1F497D" w:themeColor="text2"/>
                              <w:lang w:val="el-GR"/>
                            </w:rPr>
                            <w:t xml:space="preserve">Υπουργείο Εργασίας, Πρόνοιας και </w:t>
                          </w:r>
                          <w:r w:rsidR="00B55EF6" w:rsidRPr="00B55EF6">
                            <w:rPr>
                              <w:b/>
                              <w:noProof/>
                              <w:color w:val="1F497D" w:themeColor="text2"/>
                              <w:lang w:val="el-GR"/>
                            </w:rPr>
                            <w:t>Κοινωνικών Ασφαλίσεων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D7AF9">
            <w:rPr>
              <w:rFonts w:asciiTheme="majorHAnsi" w:eastAsiaTheme="majorEastAsia" w:hAnsiTheme="majorHAnsi" w:cstheme="majorBidi"/>
              <w:sz w:val="76"/>
              <w:szCs w:val="72"/>
              <w:lang w:val="en-US" w:eastAsia="ja-JP"/>
            </w:rPr>
            <w:br w:type="page"/>
          </w:r>
        </w:p>
      </w:sdtContent>
    </w:sdt>
    <w:p w:rsidR="008843F0" w:rsidRDefault="008843F0" w:rsidP="00311B33">
      <w:pPr>
        <w:spacing w:after="0"/>
        <w:ind w:left="567" w:hanging="567"/>
        <w:contextualSpacing/>
        <w:jc w:val="both"/>
        <w:rPr>
          <w:rFonts w:eastAsia="Calibri" w:cs="Arial"/>
          <w:b/>
          <w:sz w:val="24"/>
          <w:szCs w:val="24"/>
          <w:u w:val="single"/>
        </w:rPr>
      </w:pPr>
    </w:p>
    <w:p w:rsidR="008843F0" w:rsidRDefault="008843F0" w:rsidP="00311B33">
      <w:pPr>
        <w:spacing w:after="0"/>
        <w:ind w:left="567" w:hanging="567"/>
        <w:contextualSpacing/>
        <w:jc w:val="both"/>
        <w:rPr>
          <w:rFonts w:eastAsia="Calibri" w:cs="Arial"/>
          <w:b/>
          <w:sz w:val="24"/>
          <w:szCs w:val="24"/>
          <w:u w:val="single"/>
        </w:rPr>
      </w:pPr>
    </w:p>
    <w:p w:rsidR="008843F0" w:rsidRPr="00FF2558" w:rsidRDefault="00F412F6" w:rsidP="00FF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/>
          <w:color w:val="0070C0"/>
          <w:sz w:val="28"/>
          <w:szCs w:val="28"/>
          <w:u w:val="single"/>
        </w:rPr>
      </w:pPr>
      <w:r w:rsidRPr="00FF2558">
        <w:rPr>
          <w:rFonts w:eastAsia="Calibri" w:cs="Arial"/>
          <w:b/>
          <w:color w:val="0070C0"/>
          <w:sz w:val="28"/>
          <w:szCs w:val="28"/>
          <w:u w:val="single"/>
        </w:rPr>
        <w:t xml:space="preserve">ΜΕΡΟΣ Α΄: </w:t>
      </w:r>
      <w:r w:rsidR="008843F0" w:rsidRPr="00FF2558">
        <w:rPr>
          <w:rFonts w:eastAsia="Calibri" w:cs="Arial"/>
          <w:b/>
          <w:color w:val="0070C0"/>
          <w:sz w:val="28"/>
          <w:szCs w:val="28"/>
          <w:u w:val="single"/>
        </w:rPr>
        <w:t>ΕΤΗΣΙΑ ΕΚ</w:t>
      </w:r>
      <w:r w:rsidR="009A3EAF" w:rsidRPr="00FF2558">
        <w:rPr>
          <w:rFonts w:eastAsia="Calibri" w:cs="Arial"/>
          <w:b/>
          <w:color w:val="0070C0"/>
          <w:sz w:val="28"/>
          <w:szCs w:val="28"/>
          <w:u w:val="single"/>
        </w:rPr>
        <w:t>ΘΕΣΗ ΕΓΓΕΓΡΑΜΜΕΝΗΣ ΑΝΕΡΓΙΑΣ 2019</w:t>
      </w:r>
    </w:p>
    <w:p w:rsidR="008843F0" w:rsidRPr="008843F0" w:rsidRDefault="008843F0" w:rsidP="008843F0">
      <w:pPr>
        <w:rPr>
          <w:rFonts w:eastAsia="Calibri" w:cs="Arial"/>
          <w:b/>
          <w:sz w:val="24"/>
          <w:szCs w:val="24"/>
          <w:u w:val="single"/>
        </w:rPr>
      </w:pPr>
    </w:p>
    <w:p w:rsidR="008843F0" w:rsidRDefault="008843F0" w:rsidP="008843F0">
      <w:pPr>
        <w:rPr>
          <w:rFonts w:eastAsia="Calibri" w:cs="Arial"/>
          <w:b/>
          <w:sz w:val="26"/>
          <w:szCs w:val="26"/>
          <w:u w:val="single"/>
        </w:rPr>
      </w:pPr>
      <w:r w:rsidRPr="009B7BBA">
        <w:rPr>
          <w:rFonts w:eastAsia="Calibri" w:cs="Arial"/>
          <w:b/>
          <w:sz w:val="26"/>
          <w:szCs w:val="26"/>
          <w:u w:val="single"/>
        </w:rPr>
        <w:t>ΠΕΡΙΕΧΟΜΕΝΑ</w:t>
      </w:r>
    </w:p>
    <w:p w:rsidR="009B7BBA" w:rsidRPr="009B7BBA" w:rsidRDefault="009B7BBA" w:rsidP="008843F0">
      <w:pPr>
        <w:rPr>
          <w:rFonts w:eastAsia="Calibri" w:cs="Arial"/>
          <w:b/>
          <w:sz w:val="26"/>
          <w:szCs w:val="26"/>
          <w:u w:val="single"/>
        </w:rPr>
      </w:pPr>
    </w:p>
    <w:p w:rsidR="008843F0" w:rsidRPr="009B7BBA" w:rsidRDefault="008843F0" w:rsidP="008843F0">
      <w:pPr>
        <w:pStyle w:val="ListParagraph"/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 w:val="26"/>
          <w:szCs w:val="26"/>
          <w:lang w:val="el-GR"/>
        </w:rPr>
      </w:pPr>
      <w:r w:rsidRPr="009B7BBA">
        <w:rPr>
          <w:rFonts w:asciiTheme="minorHAnsi" w:eastAsia="Calibri" w:hAnsiTheme="minorHAnsi" w:cs="Arial"/>
          <w:sz w:val="26"/>
          <w:szCs w:val="26"/>
          <w:lang w:val="el-GR"/>
        </w:rPr>
        <w:t xml:space="preserve">Παρακολούθηση </w:t>
      </w:r>
      <w:r w:rsidR="001326CC">
        <w:rPr>
          <w:rFonts w:asciiTheme="minorHAnsi" w:eastAsia="Calibri" w:hAnsiTheme="minorHAnsi" w:cs="Arial"/>
          <w:sz w:val="26"/>
          <w:szCs w:val="26"/>
          <w:lang w:val="el-GR"/>
        </w:rPr>
        <w:t>Ε</w:t>
      </w:r>
      <w:r w:rsidRPr="009B7BBA">
        <w:rPr>
          <w:rFonts w:asciiTheme="minorHAnsi" w:eastAsia="Calibri" w:hAnsiTheme="minorHAnsi" w:cs="Arial"/>
          <w:sz w:val="26"/>
          <w:szCs w:val="26"/>
          <w:lang w:val="el-GR"/>
        </w:rPr>
        <w:t>ξελίξεων στην Αγορά Εργασίας</w:t>
      </w:r>
      <w:r w:rsidRP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……</w:t>
      </w:r>
      <w:r w:rsidR="00444484" w:rsidRP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……</w:t>
      </w:r>
      <w:r w:rsidRP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……………</w:t>
      </w:r>
      <w:r w:rsidR="00444484" w:rsidRP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.</w:t>
      </w:r>
      <w:r w:rsidRP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…</w:t>
      </w:r>
      <w:r w:rsidRPr="009B7BBA">
        <w:rPr>
          <w:rFonts w:asciiTheme="minorHAnsi" w:eastAsia="Calibri" w:hAnsiTheme="minorHAnsi" w:cs="Arial"/>
          <w:sz w:val="26"/>
          <w:szCs w:val="26"/>
          <w:lang w:val="el-GR"/>
        </w:rPr>
        <w:t>2</w:t>
      </w:r>
    </w:p>
    <w:p w:rsidR="008843F0" w:rsidRPr="009B7BBA" w:rsidRDefault="008843F0" w:rsidP="008843F0">
      <w:pPr>
        <w:pStyle w:val="ListParagraph"/>
        <w:spacing w:line="276" w:lineRule="auto"/>
        <w:rPr>
          <w:rFonts w:asciiTheme="minorHAnsi" w:eastAsia="Calibri" w:hAnsiTheme="minorHAnsi" w:cs="Arial"/>
          <w:sz w:val="26"/>
          <w:szCs w:val="26"/>
          <w:lang w:val="el-GR"/>
        </w:rPr>
      </w:pPr>
    </w:p>
    <w:p w:rsidR="008843F0" w:rsidRPr="009B7BBA" w:rsidRDefault="008843F0" w:rsidP="008843F0">
      <w:pPr>
        <w:pStyle w:val="ListParagraph"/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 w:val="26"/>
          <w:szCs w:val="26"/>
          <w:lang w:val="el-GR"/>
        </w:rPr>
      </w:pPr>
      <w:r w:rsidRPr="009B7BBA">
        <w:rPr>
          <w:rFonts w:asciiTheme="minorHAnsi" w:eastAsia="Calibri" w:hAnsiTheme="minorHAnsi" w:cs="Arial"/>
          <w:sz w:val="26"/>
          <w:szCs w:val="26"/>
          <w:lang w:val="el-GR"/>
        </w:rPr>
        <w:t xml:space="preserve">Ανάλυση </w:t>
      </w:r>
      <w:r w:rsidR="001326CC">
        <w:rPr>
          <w:rFonts w:asciiTheme="minorHAnsi" w:eastAsia="Calibri" w:hAnsiTheme="minorHAnsi" w:cs="Arial"/>
          <w:sz w:val="26"/>
          <w:szCs w:val="26"/>
          <w:lang w:val="el-GR"/>
        </w:rPr>
        <w:t>Ε</w:t>
      </w:r>
      <w:r w:rsidR="00E8050F" w:rsidRPr="009B7BBA">
        <w:rPr>
          <w:rFonts w:asciiTheme="minorHAnsi" w:eastAsia="Calibri" w:hAnsiTheme="minorHAnsi" w:cs="Arial"/>
          <w:sz w:val="26"/>
          <w:szCs w:val="26"/>
          <w:lang w:val="el-GR"/>
        </w:rPr>
        <w:t xml:space="preserve">τήσιων </w:t>
      </w:r>
      <w:r w:rsidR="00444484">
        <w:rPr>
          <w:rFonts w:asciiTheme="minorHAnsi" w:eastAsia="Calibri" w:hAnsiTheme="minorHAnsi" w:cs="Arial"/>
          <w:sz w:val="26"/>
          <w:szCs w:val="26"/>
          <w:lang w:val="el-GR"/>
        </w:rPr>
        <w:t>Στατιστικών Σ</w:t>
      </w:r>
      <w:r w:rsidRPr="009B7BBA">
        <w:rPr>
          <w:rFonts w:asciiTheme="minorHAnsi" w:eastAsia="Calibri" w:hAnsiTheme="minorHAnsi" w:cs="Arial"/>
          <w:sz w:val="26"/>
          <w:szCs w:val="26"/>
          <w:lang w:val="el-GR"/>
        </w:rPr>
        <w:t xml:space="preserve">τοιχείων </w:t>
      </w:r>
      <w:r w:rsidR="00444484">
        <w:rPr>
          <w:rFonts w:asciiTheme="minorHAnsi" w:eastAsia="Calibri" w:hAnsiTheme="minorHAnsi" w:cs="Arial"/>
          <w:sz w:val="26"/>
          <w:szCs w:val="26"/>
          <w:lang w:val="el-GR"/>
        </w:rPr>
        <w:t>Ε</w:t>
      </w:r>
      <w:r w:rsidRPr="009B7BBA">
        <w:rPr>
          <w:rFonts w:asciiTheme="minorHAnsi" w:eastAsia="Calibri" w:hAnsiTheme="minorHAnsi" w:cs="Arial"/>
          <w:sz w:val="26"/>
          <w:szCs w:val="26"/>
          <w:lang w:val="el-GR"/>
        </w:rPr>
        <w:t xml:space="preserve">γγεγραμμένης </w:t>
      </w:r>
      <w:r w:rsidR="00444484">
        <w:rPr>
          <w:rFonts w:asciiTheme="minorHAnsi" w:eastAsia="Calibri" w:hAnsiTheme="minorHAnsi" w:cs="Arial"/>
          <w:sz w:val="26"/>
          <w:szCs w:val="26"/>
          <w:lang w:val="el-GR"/>
        </w:rPr>
        <w:t>Α</w:t>
      </w:r>
      <w:r w:rsidRPr="009B7BBA">
        <w:rPr>
          <w:rFonts w:asciiTheme="minorHAnsi" w:eastAsia="Calibri" w:hAnsiTheme="minorHAnsi" w:cs="Arial"/>
          <w:sz w:val="26"/>
          <w:szCs w:val="26"/>
          <w:lang w:val="el-GR"/>
        </w:rPr>
        <w:t>νεργίας</w:t>
      </w:r>
      <w:r w:rsidR="00444484" w:rsidRP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…………………………………………</w:t>
      </w:r>
      <w:r w:rsid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...</w:t>
      </w:r>
      <w:r w:rsidR="00444484" w:rsidRP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…………………………</w:t>
      </w:r>
      <w:r w:rsidRP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……………………</w:t>
      </w:r>
      <w:r w:rsidR="00E8050F" w:rsidRPr="009B7BBA">
        <w:rPr>
          <w:rFonts w:asciiTheme="minorHAnsi" w:eastAsia="Calibri" w:hAnsiTheme="minorHAnsi" w:cs="Arial"/>
          <w:sz w:val="26"/>
          <w:szCs w:val="26"/>
          <w:lang w:val="el-GR"/>
        </w:rPr>
        <w:t>4</w:t>
      </w:r>
    </w:p>
    <w:p w:rsidR="008843F0" w:rsidRPr="009B7BBA" w:rsidRDefault="008843F0" w:rsidP="008843F0">
      <w:pPr>
        <w:pStyle w:val="ListParagraph"/>
        <w:spacing w:line="276" w:lineRule="auto"/>
        <w:rPr>
          <w:rFonts w:asciiTheme="minorHAnsi" w:eastAsia="Calibri" w:hAnsiTheme="minorHAnsi" w:cs="Arial"/>
          <w:sz w:val="26"/>
          <w:szCs w:val="26"/>
          <w:lang w:val="el-GR"/>
        </w:rPr>
      </w:pPr>
    </w:p>
    <w:p w:rsidR="008843F0" w:rsidRPr="009B7BBA" w:rsidRDefault="008843F0" w:rsidP="008843F0">
      <w:pPr>
        <w:pStyle w:val="ListParagraph"/>
        <w:spacing w:line="276" w:lineRule="auto"/>
        <w:rPr>
          <w:rFonts w:asciiTheme="minorHAnsi" w:eastAsia="Calibri" w:hAnsiTheme="minorHAnsi" w:cs="Arial"/>
          <w:sz w:val="26"/>
          <w:szCs w:val="26"/>
          <w:lang w:val="el-GR"/>
        </w:rPr>
      </w:pPr>
    </w:p>
    <w:p w:rsidR="008843F0" w:rsidRPr="009B7BBA" w:rsidRDefault="00444484" w:rsidP="008843F0">
      <w:pPr>
        <w:pStyle w:val="ListParagraph"/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 w:val="26"/>
          <w:szCs w:val="26"/>
          <w:lang w:val="el-GR"/>
        </w:rPr>
      </w:pPr>
      <w:r>
        <w:rPr>
          <w:rFonts w:asciiTheme="minorHAnsi" w:eastAsia="Calibri" w:hAnsiTheme="minorHAnsi" w:cs="Arial"/>
          <w:sz w:val="26"/>
          <w:szCs w:val="26"/>
          <w:lang w:val="el-GR"/>
        </w:rPr>
        <w:t>Θέσεις Ε</w:t>
      </w:r>
      <w:r w:rsidR="008843F0" w:rsidRPr="009B7BBA">
        <w:rPr>
          <w:rFonts w:asciiTheme="minorHAnsi" w:eastAsia="Calibri" w:hAnsiTheme="minorHAnsi" w:cs="Arial"/>
          <w:sz w:val="26"/>
          <w:szCs w:val="26"/>
          <w:lang w:val="el-GR"/>
        </w:rPr>
        <w:t>ργασίας</w:t>
      </w:r>
      <w:r>
        <w:rPr>
          <w:rFonts w:asciiTheme="minorHAnsi" w:eastAsia="Calibri" w:hAnsiTheme="minorHAnsi" w:cs="Arial"/>
          <w:sz w:val="26"/>
          <w:szCs w:val="26"/>
          <w:lang w:val="el-GR"/>
        </w:rPr>
        <w:t xml:space="preserve"> </w:t>
      </w:r>
      <w:r w:rsidRP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…………………………</w:t>
      </w:r>
      <w:r w:rsid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..</w:t>
      </w:r>
      <w:r w:rsidRP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………………………………………………….</w:t>
      </w:r>
      <w:r>
        <w:rPr>
          <w:rFonts w:asciiTheme="minorHAnsi" w:eastAsia="Calibri" w:hAnsiTheme="minorHAnsi" w:cs="Arial"/>
          <w:sz w:val="26"/>
          <w:szCs w:val="26"/>
          <w:lang w:val="el-GR"/>
        </w:rPr>
        <w:t>6</w:t>
      </w:r>
    </w:p>
    <w:p w:rsidR="008843F0" w:rsidRPr="009B7BBA" w:rsidRDefault="008843F0" w:rsidP="008843F0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Calibri" w:hAnsiTheme="minorHAnsi" w:cs="Arial"/>
          <w:sz w:val="26"/>
          <w:szCs w:val="26"/>
          <w:lang w:val="el-GR"/>
        </w:rPr>
      </w:pPr>
      <w:r w:rsidRPr="009B7BBA">
        <w:rPr>
          <w:rFonts w:asciiTheme="minorHAnsi" w:eastAsia="Calibri" w:hAnsiTheme="minorHAnsi" w:cs="Arial"/>
          <w:sz w:val="26"/>
          <w:szCs w:val="26"/>
          <w:lang w:val="el-GR"/>
        </w:rPr>
        <w:t>Κοινοποιηθείσες</w:t>
      </w:r>
    </w:p>
    <w:p w:rsidR="008843F0" w:rsidRPr="009B7BBA" w:rsidRDefault="008843F0" w:rsidP="008843F0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Calibri" w:hAnsiTheme="minorHAnsi" w:cs="Arial"/>
          <w:sz w:val="26"/>
          <w:szCs w:val="26"/>
          <w:lang w:val="el-GR"/>
        </w:rPr>
      </w:pPr>
      <w:r w:rsidRPr="009B7BBA">
        <w:rPr>
          <w:rFonts w:asciiTheme="minorHAnsi" w:eastAsia="Calibri" w:hAnsiTheme="minorHAnsi" w:cs="Arial"/>
          <w:sz w:val="26"/>
          <w:szCs w:val="26"/>
          <w:lang w:val="el-GR"/>
        </w:rPr>
        <w:t>Ενεργές</w:t>
      </w:r>
    </w:p>
    <w:p w:rsidR="008843F0" w:rsidRPr="009B7BBA" w:rsidRDefault="008843F0" w:rsidP="008843F0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Calibri" w:hAnsiTheme="minorHAnsi" w:cs="Arial"/>
          <w:sz w:val="26"/>
          <w:szCs w:val="26"/>
          <w:lang w:val="el-GR"/>
        </w:rPr>
      </w:pPr>
      <w:r w:rsidRPr="009B7BBA">
        <w:rPr>
          <w:rFonts w:asciiTheme="minorHAnsi" w:eastAsia="Calibri" w:hAnsiTheme="minorHAnsi" w:cs="Arial"/>
          <w:sz w:val="26"/>
          <w:szCs w:val="26"/>
          <w:lang w:val="el-GR"/>
        </w:rPr>
        <w:t>Τερματισμένες</w:t>
      </w:r>
    </w:p>
    <w:p w:rsidR="008843F0" w:rsidRPr="009B7BBA" w:rsidRDefault="008843F0" w:rsidP="008843F0">
      <w:pPr>
        <w:rPr>
          <w:rFonts w:eastAsia="Calibri" w:cs="Arial"/>
          <w:sz w:val="26"/>
          <w:szCs w:val="26"/>
        </w:rPr>
      </w:pPr>
    </w:p>
    <w:p w:rsidR="008843F0" w:rsidRPr="00444484" w:rsidRDefault="008843F0" w:rsidP="008843F0">
      <w:pPr>
        <w:pStyle w:val="ListParagraph"/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 w:val="26"/>
          <w:szCs w:val="26"/>
          <w:lang w:val="el-GR"/>
        </w:rPr>
      </w:pPr>
      <w:r w:rsidRPr="009B7BBA">
        <w:rPr>
          <w:rFonts w:asciiTheme="minorHAnsi" w:eastAsia="Calibri" w:hAnsiTheme="minorHAnsi" w:cs="Arial"/>
          <w:sz w:val="26"/>
          <w:szCs w:val="26"/>
          <w:lang w:val="el-GR"/>
        </w:rPr>
        <w:t>Τοποθετήσεις</w:t>
      </w:r>
      <w:r w:rsidR="00444484" w:rsidRP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……………………………………………</w:t>
      </w:r>
      <w:r w:rsid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….</w:t>
      </w:r>
      <w:bookmarkStart w:id="0" w:name="_GoBack"/>
      <w:bookmarkEnd w:id="0"/>
      <w:r w:rsidR="00444484" w:rsidRPr="004841E5">
        <w:rPr>
          <w:rFonts w:asciiTheme="minorHAnsi" w:eastAsia="Calibri" w:hAnsiTheme="minorHAnsi" w:cs="Arial"/>
          <w:b w:val="0"/>
          <w:sz w:val="26"/>
          <w:szCs w:val="26"/>
          <w:lang w:val="el-GR"/>
        </w:rPr>
        <w:t>………………………….………..</w:t>
      </w:r>
      <w:r w:rsidR="003B5E2D">
        <w:rPr>
          <w:rFonts w:asciiTheme="minorHAnsi" w:eastAsia="Calibri" w:hAnsiTheme="minorHAnsi" w:cs="Arial"/>
          <w:sz w:val="26"/>
          <w:szCs w:val="26"/>
          <w:lang w:val="el-GR"/>
        </w:rPr>
        <w:t>7</w:t>
      </w:r>
    </w:p>
    <w:p w:rsidR="008843F0" w:rsidRPr="009B7BBA" w:rsidRDefault="008843F0" w:rsidP="008843F0">
      <w:pPr>
        <w:rPr>
          <w:rFonts w:eastAsia="Calibri" w:cs="Arial"/>
          <w:sz w:val="26"/>
          <w:szCs w:val="26"/>
          <w:u w:val="single"/>
        </w:rPr>
      </w:pPr>
      <w:r w:rsidRPr="009B7BBA">
        <w:rPr>
          <w:rFonts w:eastAsia="Calibri" w:cs="Arial"/>
          <w:sz w:val="26"/>
          <w:szCs w:val="26"/>
          <w:u w:val="single"/>
        </w:rPr>
        <w:br w:type="page"/>
      </w:r>
    </w:p>
    <w:p w:rsidR="00DC2971" w:rsidRPr="003B5E2D" w:rsidRDefault="00DC2971" w:rsidP="009B7BBA">
      <w:pPr>
        <w:pStyle w:val="ListParagraph"/>
        <w:numPr>
          <w:ilvl w:val="0"/>
          <w:numId w:val="5"/>
        </w:numPr>
        <w:contextualSpacing/>
        <w:jc w:val="both"/>
        <w:rPr>
          <w:rFonts w:ascii="Calibri" w:eastAsia="Calibri" w:hAnsi="Calibri" w:cs="Arial"/>
          <w:sz w:val="26"/>
          <w:szCs w:val="26"/>
          <w:u w:color="FF0000"/>
          <w:lang w:val="el-GR"/>
        </w:rPr>
      </w:pPr>
      <w:r w:rsidRPr="003B5E2D">
        <w:rPr>
          <w:rFonts w:ascii="Calibri" w:eastAsia="Calibri" w:hAnsi="Calibri" w:cs="Arial"/>
          <w:sz w:val="26"/>
          <w:szCs w:val="26"/>
          <w:u w:color="FF0000"/>
          <w:lang w:val="el-GR"/>
        </w:rPr>
        <w:lastRenderedPageBreak/>
        <w:t>Παρακολούθηση</w:t>
      </w:r>
      <w:r w:rsidR="00556546" w:rsidRPr="003B5E2D">
        <w:rPr>
          <w:rFonts w:ascii="Calibri" w:eastAsia="Calibri" w:hAnsi="Calibri" w:cs="Arial"/>
          <w:sz w:val="26"/>
          <w:szCs w:val="26"/>
          <w:u w:color="FF0000"/>
          <w:lang w:val="el-GR"/>
        </w:rPr>
        <w:t xml:space="preserve"> </w:t>
      </w:r>
      <w:r w:rsidR="00311B33" w:rsidRPr="003B5E2D">
        <w:rPr>
          <w:rFonts w:ascii="Calibri" w:eastAsia="Calibri" w:hAnsi="Calibri" w:cs="Arial"/>
          <w:sz w:val="26"/>
          <w:szCs w:val="26"/>
          <w:u w:color="FF0000"/>
          <w:lang w:val="el-GR"/>
        </w:rPr>
        <w:t>Εξελίξεων στην Αγορά Εργασίας</w:t>
      </w:r>
      <w:r w:rsidR="009543B0" w:rsidRPr="003B5E2D">
        <w:rPr>
          <w:rStyle w:val="FootnoteReference"/>
          <w:rFonts w:ascii="Calibri" w:eastAsia="Calibri" w:hAnsi="Calibri" w:cs="Arial"/>
          <w:b w:val="0"/>
          <w:sz w:val="26"/>
          <w:szCs w:val="26"/>
          <w:u w:color="FF0000"/>
        </w:rPr>
        <w:footnoteReference w:id="1"/>
      </w:r>
    </w:p>
    <w:p w:rsidR="00DC2971" w:rsidRPr="00311B33" w:rsidRDefault="00DC2971" w:rsidP="00311B33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DC2971" w:rsidRPr="00311B33" w:rsidRDefault="00556546" w:rsidP="00311B33">
      <w:pPr>
        <w:spacing w:after="0"/>
        <w:contextualSpacing/>
        <w:jc w:val="both"/>
        <w:rPr>
          <w:rFonts w:eastAsia="Calibri" w:cs="Arial"/>
          <w:bCs/>
          <w:sz w:val="24"/>
          <w:szCs w:val="24"/>
        </w:rPr>
      </w:pPr>
      <w:r w:rsidRPr="00311B33">
        <w:rPr>
          <w:rFonts w:eastAsia="Calibri" w:cs="Arial"/>
          <w:bCs/>
          <w:sz w:val="24"/>
          <w:szCs w:val="24"/>
        </w:rPr>
        <w:t>Η οικονομική πολιτική</w:t>
      </w:r>
      <w:r w:rsidR="00DD01B4" w:rsidRPr="00311B33">
        <w:rPr>
          <w:rFonts w:eastAsia="Calibri" w:cs="Arial"/>
          <w:bCs/>
          <w:sz w:val="24"/>
          <w:szCs w:val="24"/>
        </w:rPr>
        <w:t xml:space="preserve"> που ακολουθήθηκε τα </w:t>
      </w:r>
      <w:r w:rsidRPr="00311B33">
        <w:rPr>
          <w:rFonts w:eastAsia="Calibri" w:cs="Arial"/>
          <w:bCs/>
          <w:sz w:val="24"/>
          <w:szCs w:val="24"/>
        </w:rPr>
        <w:t>τελευταί</w:t>
      </w:r>
      <w:r w:rsidR="00DD01B4" w:rsidRPr="00311B33">
        <w:rPr>
          <w:rFonts w:eastAsia="Calibri" w:cs="Arial"/>
          <w:bCs/>
          <w:sz w:val="24"/>
          <w:szCs w:val="24"/>
        </w:rPr>
        <w:t>α</w:t>
      </w:r>
      <w:r w:rsidRPr="00311B33">
        <w:rPr>
          <w:rFonts w:eastAsia="Calibri" w:cs="Arial"/>
          <w:bCs/>
          <w:sz w:val="24"/>
          <w:szCs w:val="24"/>
        </w:rPr>
        <w:t xml:space="preserve"> χρόν</w:t>
      </w:r>
      <w:r w:rsidR="00DD01B4" w:rsidRPr="00311B33">
        <w:rPr>
          <w:rFonts w:eastAsia="Calibri" w:cs="Arial"/>
          <w:bCs/>
          <w:sz w:val="24"/>
          <w:szCs w:val="24"/>
        </w:rPr>
        <w:t>ια,</w:t>
      </w:r>
      <w:r w:rsidRPr="00311B33">
        <w:rPr>
          <w:rFonts w:eastAsia="Calibri" w:cs="Arial"/>
          <w:bCs/>
          <w:sz w:val="24"/>
          <w:szCs w:val="24"/>
        </w:rPr>
        <w:t xml:space="preserve"> </w:t>
      </w:r>
      <w:r w:rsidR="00DD01B4" w:rsidRPr="00311B33">
        <w:rPr>
          <w:rFonts w:eastAsia="Calibri" w:cs="Arial"/>
          <w:bCs/>
          <w:sz w:val="24"/>
          <w:szCs w:val="24"/>
        </w:rPr>
        <w:t xml:space="preserve">ήταν μέρος μιας τεράστιας συλλογικής προσπάθειας που συντελέστηκε με ένα </w:t>
      </w:r>
      <w:r w:rsidR="00A02D28" w:rsidRPr="00311B33">
        <w:rPr>
          <w:rFonts w:eastAsia="Calibri" w:cs="Arial"/>
          <w:bCs/>
          <w:sz w:val="24"/>
          <w:szCs w:val="24"/>
        </w:rPr>
        <w:t>ευρύ φάσμα</w:t>
      </w:r>
      <w:r w:rsidR="00DD01B4" w:rsidRPr="00311B33">
        <w:rPr>
          <w:rFonts w:eastAsia="Calibri" w:cs="Arial"/>
          <w:bCs/>
          <w:sz w:val="24"/>
          <w:szCs w:val="24"/>
        </w:rPr>
        <w:t xml:space="preserve"> διαρθρωτικών μεταρρυθμίσεων και μέτρων πολιτικής που είχαν ως αποτέλεσμα την ανάκαμψη και επαναδραστηριοποίηση της οικονομίας</w:t>
      </w:r>
      <w:r w:rsidR="009A3EAF">
        <w:rPr>
          <w:rFonts w:eastAsia="Calibri" w:cs="Arial"/>
          <w:bCs/>
          <w:sz w:val="24"/>
          <w:szCs w:val="24"/>
        </w:rPr>
        <w:t>, με αποτέλεσμα</w:t>
      </w:r>
      <w:r w:rsidR="00DD01B4" w:rsidRPr="00311B33">
        <w:rPr>
          <w:rFonts w:eastAsia="Calibri" w:cs="Arial"/>
          <w:bCs/>
          <w:sz w:val="24"/>
          <w:szCs w:val="24"/>
        </w:rPr>
        <w:t xml:space="preserve"> την βελτίωση</w:t>
      </w:r>
      <w:r w:rsidR="009A3EAF">
        <w:rPr>
          <w:rFonts w:eastAsia="Calibri" w:cs="Arial"/>
          <w:bCs/>
          <w:sz w:val="24"/>
          <w:szCs w:val="24"/>
        </w:rPr>
        <w:t xml:space="preserve"> όλων</w:t>
      </w:r>
      <w:r w:rsidR="00DD01B4" w:rsidRPr="00311B33">
        <w:rPr>
          <w:rFonts w:eastAsia="Calibri" w:cs="Arial"/>
          <w:bCs/>
          <w:sz w:val="24"/>
          <w:szCs w:val="24"/>
        </w:rPr>
        <w:t xml:space="preserve"> των οικονομικών</w:t>
      </w:r>
      <w:r w:rsidR="00DC2971" w:rsidRPr="00311B33">
        <w:rPr>
          <w:rFonts w:eastAsia="Calibri" w:cs="Arial"/>
          <w:bCs/>
          <w:sz w:val="24"/>
          <w:szCs w:val="24"/>
        </w:rPr>
        <w:t xml:space="preserve"> δεικτών. </w:t>
      </w:r>
    </w:p>
    <w:p w:rsidR="00A02D28" w:rsidRPr="00311B33" w:rsidRDefault="00A02D28" w:rsidP="00311B33">
      <w:pPr>
        <w:spacing w:after="0"/>
        <w:contextualSpacing/>
        <w:jc w:val="both"/>
        <w:rPr>
          <w:rFonts w:eastAsia="Calibri" w:cs="Arial"/>
          <w:bCs/>
          <w:sz w:val="24"/>
          <w:szCs w:val="24"/>
        </w:rPr>
      </w:pPr>
    </w:p>
    <w:p w:rsidR="00DD01B4" w:rsidRPr="00311B33" w:rsidRDefault="00DD01B4" w:rsidP="00311B33">
      <w:pPr>
        <w:spacing w:after="0"/>
        <w:contextualSpacing/>
        <w:jc w:val="both"/>
        <w:rPr>
          <w:rFonts w:eastAsia="Calibri" w:cs="Arial"/>
          <w:bCs/>
          <w:sz w:val="24"/>
          <w:szCs w:val="24"/>
        </w:rPr>
      </w:pPr>
      <w:r w:rsidRPr="00311B33">
        <w:rPr>
          <w:rFonts w:eastAsia="Calibri" w:cs="Arial"/>
          <w:bCs/>
          <w:sz w:val="24"/>
          <w:szCs w:val="24"/>
        </w:rPr>
        <w:t xml:space="preserve">Τα θετικά αποτελέσματα </w:t>
      </w:r>
      <w:r w:rsidR="009A3EAF">
        <w:rPr>
          <w:rFonts w:eastAsia="Calibri" w:cs="Arial"/>
          <w:bCs/>
          <w:sz w:val="24"/>
          <w:szCs w:val="24"/>
        </w:rPr>
        <w:t>αποτυπώθηκαν</w:t>
      </w:r>
      <w:r w:rsidRPr="00311B33">
        <w:rPr>
          <w:rFonts w:eastAsia="Calibri" w:cs="Arial"/>
          <w:bCs/>
          <w:sz w:val="24"/>
          <w:szCs w:val="24"/>
        </w:rPr>
        <w:t xml:space="preserve"> στους ψηλούς θετικούς ρυθμούς ανάπτυξης της οικονομίας για </w:t>
      </w:r>
      <w:r w:rsidR="00E22264">
        <w:rPr>
          <w:rFonts w:eastAsia="Calibri" w:cs="Arial"/>
          <w:bCs/>
          <w:sz w:val="24"/>
          <w:szCs w:val="24"/>
        </w:rPr>
        <w:t>πέμπτη</w:t>
      </w:r>
      <w:r w:rsidRPr="00311B33">
        <w:rPr>
          <w:rFonts w:eastAsia="Calibri" w:cs="Arial"/>
          <w:bCs/>
          <w:sz w:val="24"/>
          <w:szCs w:val="24"/>
        </w:rPr>
        <w:t xml:space="preserve"> συνεχή χρονιά, τη βελτίωση της αγοράς εργασίας και την επιστροφή της εμπιστοσύνης και της σταθερότητας στην κυπριακή οικονομία.</w:t>
      </w:r>
    </w:p>
    <w:p w:rsidR="00556546" w:rsidRPr="00311B33" w:rsidRDefault="00556546" w:rsidP="00311B33">
      <w:pPr>
        <w:spacing w:after="0"/>
        <w:contextualSpacing/>
        <w:jc w:val="both"/>
        <w:rPr>
          <w:rFonts w:eastAsia="Calibri" w:cs="Arial"/>
          <w:sz w:val="24"/>
          <w:szCs w:val="24"/>
        </w:rPr>
      </w:pPr>
    </w:p>
    <w:p w:rsidR="00A02D28" w:rsidRPr="00311B33" w:rsidRDefault="00A02D28" w:rsidP="000042AC">
      <w:pPr>
        <w:spacing w:after="0"/>
        <w:contextualSpacing/>
        <w:jc w:val="both"/>
        <w:rPr>
          <w:b/>
          <w:sz w:val="24"/>
          <w:szCs w:val="24"/>
          <w:u w:color="000000"/>
        </w:rPr>
      </w:pPr>
      <w:r w:rsidRPr="00311B33">
        <w:rPr>
          <w:rFonts w:eastAsia="Calibri" w:cs="Arial"/>
          <w:sz w:val="24"/>
          <w:szCs w:val="24"/>
        </w:rPr>
        <w:t>Όσον</w:t>
      </w:r>
      <w:r w:rsidR="00DD01B4" w:rsidRPr="00311B33">
        <w:rPr>
          <w:rFonts w:eastAsia="Calibri" w:cs="Arial"/>
          <w:sz w:val="24"/>
          <w:szCs w:val="24"/>
        </w:rPr>
        <w:t xml:space="preserve"> </w:t>
      </w:r>
      <w:r w:rsidRPr="00311B33">
        <w:rPr>
          <w:rFonts w:eastAsia="Calibri" w:cs="Arial"/>
          <w:sz w:val="24"/>
          <w:szCs w:val="24"/>
        </w:rPr>
        <w:t>αφορά την αγορά εργασίας και</w:t>
      </w:r>
      <w:r w:rsidR="00DC2971" w:rsidRPr="00311B33">
        <w:rPr>
          <w:rFonts w:eastAsia="Calibri" w:cs="Arial"/>
          <w:sz w:val="24"/>
          <w:szCs w:val="24"/>
        </w:rPr>
        <w:t xml:space="preserve"> σύμφωνα με τα  στοιχεία της </w:t>
      </w:r>
      <w:r w:rsidR="00DC2971" w:rsidRPr="00825C4A">
        <w:rPr>
          <w:rFonts w:eastAsia="Calibri" w:cs="Arial"/>
          <w:sz w:val="24"/>
          <w:szCs w:val="24"/>
        </w:rPr>
        <w:t>Έρευνας Εργατικού Δυναμικού για το 201</w:t>
      </w:r>
      <w:r w:rsidR="00E22264">
        <w:rPr>
          <w:rFonts w:eastAsia="Calibri" w:cs="Arial"/>
          <w:sz w:val="24"/>
          <w:szCs w:val="24"/>
        </w:rPr>
        <w:t>9</w:t>
      </w:r>
      <w:r w:rsidR="00DC2971" w:rsidRPr="00825C4A">
        <w:rPr>
          <w:rFonts w:eastAsia="Calibri" w:cs="Arial"/>
          <w:sz w:val="24"/>
          <w:szCs w:val="24"/>
        </w:rPr>
        <w:t xml:space="preserve">, </w:t>
      </w:r>
      <w:r w:rsidR="00DC2971" w:rsidRPr="00311B33">
        <w:rPr>
          <w:rFonts w:eastAsia="Calibri" w:cs="Arial"/>
          <w:sz w:val="24"/>
          <w:szCs w:val="24"/>
        </w:rPr>
        <w:t xml:space="preserve">το </w:t>
      </w:r>
      <w:r w:rsidR="00825C4A">
        <w:rPr>
          <w:rFonts w:eastAsia="Calibri" w:cs="Arial"/>
          <w:sz w:val="24"/>
          <w:szCs w:val="24"/>
        </w:rPr>
        <w:t xml:space="preserve">ποσοστό </w:t>
      </w:r>
      <w:r w:rsidR="00DC2971" w:rsidRPr="00311B33">
        <w:rPr>
          <w:rFonts w:eastAsia="Calibri" w:cs="Arial"/>
          <w:sz w:val="24"/>
          <w:szCs w:val="24"/>
        </w:rPr>
        <w:t xml:space="preserve">απασχόλησης </w:t>
      </w:r>
      <w:r w:rsidR="00825C4A">
        <w:rPr>
          <w:rFonts w:eastAsia="Calibri" w:cs="Arial"/>
          <w:sz w:val="24"/>
          <w:szCs w:val="24"/>
        </w:rPr>
        <w:t xml:space="preserve">των ατόμων 20-64 χρονών </w:t>
      </w:r>
      <w:r w:rsidR="00DC2971" w:rsidRPr="00311B33">
        <w:rPr>
          <w:rFonts w:eastAsia="Calibri" w:cs="Arial"/>
          <w:sz w:val="24"/>
          <w:szCs w:val="24"/>
        </w:rPr>
        <w:t xml:space="preserve">αυξήθηκε </w:t>
      </w:r>
      <w:r w:rsidR="00825C4A">
        <w:rPr>
          <w:rFonts w:eastAsia="Calibri" w:cs="Arial"/>
          <w:sz w:val="24"/>
          <w:szCs w:val="24"/>
        </w:rPr>
        <w:t>στο 7</w:t>
      </w:r>
      <w:r w:rsidR="00E22264">
        <w:rPr>
          <w:rFonts w:eastAsia="Calibri" w:cs="Arial"/>
          <w:sz w:val="24"/>
          <w:szCs w:val="24"/>
        </w:rPr>
        <w:t>5</w:t>
      </w:r>
      <w:r w:rsidR="00825C4A">
        <w:rPr>
          <w:rFonts w:eastAsia="Calibri" w:cs="Arial"/>
          <w:sz w:val="24"/>
          <w:szCs w:val="24"/>
        </w:rPr>
        <w:t>,</w:t>
      </w:r>
      <w:r w:rsidR="00E22264">
        <w:rPr>
          <w:rFonts w:eastAsia="Calibri" w:cs="Arial"/>
          <w:sz w:val="24"/>
          <w:szCs w:val="24"/>
        </w:rPr>
        <w:t>7</w:t>
      </w:r>
      <w:r w:rsidR="00825C4A">
        <w:rPr>
          <w:rFonts w:eastAsia="Calibri" w:cs="Arial"/>
          <w:sz w:val="24"/>
          <w:szCs w:val="24"/>
        </w:rPr>
        <w:t>% (</w:t>
      </w:r>
      <w:r w:rsidR="00E22264">
        <w:rPr>
          <w:rFonts w:eastAsia="Calibri" w:cs="Arial"/>
          <w:sz w:val="24"/>
          <w:szCs w:val="24"/>
        </w:rPr>
        <w:t>400.438</w:t>
      </w:r>
      <w:r w:rsidR="00825C4A">
        <w:rPr>
          <w:rFonts w:eastAsia="Calibri" w:cs="Arial"/>
          <w:sz w:val="24"/>
          <w:szCs w:val="24"/>
        </w:rPr>
        <w:t xml:space="preserve"> άτομα</w:t>
      </w:r>
      <w:r w:rsidR="005753C7">
        <w:rPr>
          <w:rFonts w:eastAsia="Calibri" w:cs="Arial"/>
          <w:sz w:val="24"/>
          <w:szCs w:val="24"/>
        </w:rPr>
        <w:t>,</w:t>
      </w:r>
      <w:r w:rsidR="00825C4A">
        <w:rPr>
          <w:rFonts w:eastAsia="Calibri" w:cs="Arial"/>
          <w:sz w:val="24"/>
          <w:szCs w:val="24"/>
        </w:rPr>
        <w:t xml:space="preserve"> </w:t>
      </w:r>
      <w:r w:rsidR="005753C7">
        <w:rPr>
          <w:rFonts w:eastAsia="Calibri" w:cs="Arial"/>
          <w:sz w:val="24"/>
          <w:szCs w:val="24"/>
        </w:rPr>
        <w:t>επιτυγχάνοντας τον</w:t>
      </w:r>
      <w:r w:rsidR="00E22264">
        <w:rPr>
          <w:rFonts w:eastAsia="Calibri" w:cs="Arial"/>
          <w:sz w:val="24"/>
          <w:szCs w:val="24"/>
        </w:rPr>
        <w:t xml:space="preserve"> στόχ</w:t>
      </w:r>
      <w:r w:rsidR="005753C7">
        <w:rPr>
          <w:rFonts w:eastAsia="Calibri" w:cs="Arial"/>
          <w:sz w:val="24"/>
          <w:szCs w:val="24"/>
        </w:rPr>
        <w:t>ο</w:t>
      </w:r>
      <w:r w:rsidR="00E22264">
        <w:rPr>
          <w:rFonts w:eastAsia="Calibri" w:cs="Arial"/>
          <w:sz w:val="24"/>
          <w:szCs w:val="24"/>
        </w:rPr>
        <w:t xml:space="preserve"> </w:t>
      </w:r>
      <w:r w:rsidR="005753C7">
        <w:rPr>
          <w:rFonts w:eastAsia="Calibri" w:cs="Arial"/>
          <w:sz w:val="24"/>
          <w:szCs w:val="24"/>
        </w:rPr>
        <w:t>της ΕΕ</w:t>
      </w:r>
      <w:r w:rsidR="00E22264" w:rsidRPr="00E22264">
        <w:rPr>
          <w:rFonts w:eastAsia="Calibri" w:cs="Arial"/>
          <w:sz w:val="24"/>
          <w:szCs w:val="24"/>
        </w:rPr>
        <w:t xml:space="preserve"> 2020</w:t>
      </w:r>
      <w:r w:rsidR="005753C7">
        <w:rPr>
          <w:rFonts w:eastAsia="Calibri" w:cs="Arial"/>
          <w:sz w:val="24"/>
          <w:szCs w:val="24"/>
        </w:rPr>
        <w:t>),</w:t>
      </w:r>
      <w:r w:rsidR="00E22264" w:rsidRPr="00E22264">
        <w:rPr>
          <w:rFonts w:eastAsia="Calibri" w:cs="Arial"/>
          <w:sz w:val="24"/>
          <w:szCs w:val="24"/>
        </w:rPr>
        <w:t xml:space="preserve"> </w:t>
      </w:r>
      <w:r w:rsidR="00B03741" w:rsidRPr="00311B33">
        <w:rPr>
          <w:rFonts w:eastAsia="Calibri" w:cs="Arial"/>
          <w:sz w:val="24"/>
          <w:szCs w:val="24"/>
        </w:rPr>
        <w:t xml:space="preserve">σε </w:t>
      </w:r>
      <w:r w:rsidR="00DC2971" w:rsidRPr="00311B33">
        <w:rPr>
          <w:rFonts w:eastAsia="Calibri" w:cs="Arial"/>
          <w:sz w:val="24"/>
          <w:szCs w:val="24"/>
        </w:rPr>
        <w:t xml:space="preserve">σύγκριση με </w:t>
      </w:r>
      <w:r w:rsidR="005753C7">
        <w:rPr>
          <w:rFonts w:eastAsia="Calibri" w:cs="Arial"/>
          <w:sz w:val="24"/>
          <w:szCs w:val="24"/>
        </w:rPr>
        <w:t>73</w:t>
      </w:r>
      <w:r w:rsidR="005753C7" w:rsidRPr="005753C7">
        <w:rPr>
          <w:rFonts w:eastAsia="Calibri" w:cs="Arial"/>
          <w:sz w:val="24"/>
          <w:szCs w:val="24"/>
        </w:rPr>
        <w:t>,9</w:t>
      </w:r>
      <w:r w:rsidR="00825C4A">
        <w:rPr>
          <w:rFonts w:eastAsia="Calibri" w:cs="Arial"/>
          <w:sz w:val="24"/>
          <w:szCs w:val="24"/>
        </w:rPr>
        <w:t>% που ήταν</w:t>
      </w:r>
      <w:r w:rsidR="00B03741" w:rsidRPr="00311B33">
        <w:rPr>
          <w:rFonts w:eastAsia="Calibri" w:cs="Arial"/>
          <w:sz w:val="24"/>
          <w:szCs w:val="24"/>
        </w:rPr>
        <w:t xml:space="preserve"> το </w:t>
      </w:r>
      <w:r w:rsidR="00DC2971" w:rsidRPr="00311B33">
        <w:rPr>
          <w:rFonts w:eastAsia="Calibri" w:cs="Arial"/>
          <w:sz w:val="24"/>
          <w:szCs w:val="24"/>
        </w:rPr>
        <w:t xml:space="preserve"> 201</w:t>
      </w:r>
      <w:r w:rsidR="005753C7" w:rsidRPr="005753C7">
        <w:rPr>
          <w:rFonts w:eastAsia="Calibri" w:cs="Arial"/>
          <w:sz w:val="24"/>
          <w:szCs w:val="24"/>
        </w:rPr>
        <w:t>8</w:t>
      </w:r>
      <w:r w:rsidR="00825C4A">
        <w:rPr>
          <w:rFonts w:eastAsia="Calibri" w:cs="Arial"/>
          <w:sz w:val="24"/>
          <w:szCs w:val="24"/>
        </w:rPr>
        <w:t xml:space="preserve"> (3</w:t>
      </w:r>
      <w:r w:rsidR="005753C7" w:rsidRPr="005753C7">
        <w:rPr>
          <w:rFonts w:eastAsia="Calibri" w:cs="Arial"/>
          <w:sz w:val="24"/>
          <w:szCs w:val="24"/>
        </w:rPr>
        <w:t>86</w:t>
      </w:r>
      <w:r w:rsidR="00825C4A">
        <w:rPr>
          <w:rFonts w:eastAsia="Calibri" w:cs="Arial"/>
          <w:sz w:val="24"/>
          <w:szCs w:val="24"/>
        </w:rPr>
        <w:t>.9</w:t>
      </w:r>
      <w:r w:rsidR="005753C7" w:rsidRPr="005753C7">
        <w:rPr>
          <w:rFonts w:eastAsia="Calibri" w:cs="Arial"/>
          <w:sz w:val="24"/>
          <w:szCs w:val="24"/>
        </w:rPr>
        <w:t>35</w:t>
      </w:r>
      <w:r w:rsidR="00825C4A">
        <w:rPr>
          <w:rFonts w:eastAsia="Calibri" w:cs="Arial"/>
          <w:sz w:val="24"/>
          <w:szCs w:val="24"/>
        </w:rPr>
        <w:t xml:space="preserve"> άτομα). </w:t>
      </w:r>
      <w:r w:rsidR="00DC2971" w:rsidRPr="00311B33">
        <w:rPr>
          <w:rFonts w:eastAsia="Calibri" w:cs="Arial"/>
          <w:sz w:val="24"/>
          <w:szCs w:val="24"/>
        </w:rPr>
        <w:t xml:space="preserve"> </w:t>
      </w:r>
      <w:r w:rsidRPr="00311B33">
        <w:rPr>
          <w:rFonts w:ascii="Calibri" w:hAnsi="Calibri"/>
          <w:sz w:val="24"/>
          <w:szCs w:val="24"/>
        </w:rPr>
        <w:t xml:space="preserve">Σε σχέση με τα προηγούμενα χρόνια </w:t>
      </w:r>
      <w:r w:rsidR="005753C7">
        <w:rPr>
          <w:sz w:val="24"/>
          <w:szCs w:val="24"/>
          <w:u w:color="000000"/>
        </w:rPr>
        <w:t>το επίπεδο απασχόλησης το 201</w:t>
      </w:r>
      <w:r w:rsidR="005753C7" w:rsidRPr="005753C7">
        <w:rPr>
          <w:sz w:val="24"/>
          <w:szCs w:val="24"/>
          <w:u w:color="000000"/>
        </w:rPr>
        <w:t>8</w:t>
      </w:r>
      <w:r w:rsidRPr="00311B33">
        <w:rPr>
          <w:sz w:val="24"/>
          <w:szCs w:val="24"/>
          <w:u w:color="000000"/>
        </w:rPr>
        <w:t xml:space="preserve"> είχε αυξηθεί κατά </w:t>
      </w:r>
      <w:r w:rsidR="005753C7" w:rsidRPr="005753C7">
        <w:rPr>
          <w:sz w:val="24"/>
          <w:szCs w:val="24"/>
          <w:u w:color="000000"/>
        </w:rPr>
        <w:t>5,2</w:t>
      </w:r>
      <w:r w:rsidRPr="00311B33">
        <w:rPr>
          <w:sz w:val="24"/>
          <w:szCs w:val="24"/>
          <w:u w:color="000000"/>
        </w:rPr>
        <w:t>% σε σύγκριση με το 201</w:t>
      </w:r>
      <w:r w:rsidR="005753C7" w:rsidRPr="005753C7">
        <w:rPr>
          <w:sz w:val="24"/>
          <w:szCs w:val="24"/>
          <w:u w:color="000000"/>
        </w:rPr>
        <w:t>7</w:t>
      </w:r>
      <w:r w:rsidRPr="00311B33">
        <w:rPr>
          <w:sz w:val="24"/>
          <w:szCs w:val="24"/>
          <w:u w:color="000000"/>
        </w:rPr>
        <w:t>, φτάνοντας στα 3</w:t>
      </w:r>
      <w:r w:rsidR="005753C7" w:rsidRPr="005753C7">
        <w:rPr>
          <w:sz w:val="24"/>
          <w:szCs w:val="24"/>
          <w:u w:color="000000"/>
        </w:rPr>
        <w:t>86</w:t>
      </w:r>
      <w:r w:rsidRPr="00311B33">
        <w:rPr>
          <w:sz w:val="24"/>
          <w:szCs w:val="24"/>
          <w:u w:color="000000"/>
        </w:rPr>
        <w:t>.</w:t>
      </w:r>
      <w:r w:rsidR="005753C7" w:rsidRPr="005753C7">
        <w:rPr>
          <w:sz w:val="24"/>
          <w:szCs w:val="24"/>
          <w:u w:color="000000"/>
        </w:rPr>
        <w:t>935</w:t>
      </w:r>
      <w:r w:rsidRPr="00311B33">
        <w:rPr>
          <w:sz w:val="24"/>
          <w:szCs w:val="24"/>
          <w:u w:color="000000"/>
        </w:rPr>
        <w:t xml:space="preserve"> άτομα, από 3</w:t>
      </w:r>
      <w:r w:rsidR="005753C7" w:rsidRPr="005753C7">
        <w:rPr>
          <w:sz w:val="24"/>
          <w:szCs w:val="24"/>
          <w:u w:color="000000"/>
        </w:rPr>
        <w:t>67</w:t>
      </w:r>
      <w:r w:rsidRPr="00311B33">
        <w:rPr>
          <w:sz w:val="24"/>
          <w:szCs w:val="24"/>
          <w:u w:color="000000"/>
        </w:rPr>
        <w:t>.</w:t>
      </w:r>
      <w:r w:rsidR="005753C7" w:rsidRPr="005753C7">
        <w:rPr>
          <w:sz w:val="24"/>
          <w:szCs w:val="24"/>
          <w:u w:color="000000"/>
        </w:rPr>
        <w:t>953</w:t>
      </w:r>
      <w:r w:rsidRPr="00311B33">
        <w:rPr>
          <w:sz w:val="24"/>
          <w:szCs w:val="24"/>
          <w:u w:color="000000"/>
        </w:rPr>
        <w:t xml:space="preserve"> άτομα που ήταν το 201</w:t>
      </w:r>
      <w:r w:rsidR="005753C7" w:rsidRPr="005753C7">
        <w:rPr>
          <w:sz w:val="24"/>
          <w:szCs w:val="24"/>
          <w:u w:color="000000"/>
        </w:rPr>
        <w:t>7</w:t>
      </w:r>
      <w:r w:rsidRPr="00311B33">
        <w:rPr>
          <w:sz w:val="24"/>
          <w:szCs w:val="24"/>
          <w:u w:color="000000"/>
        </w:rPr>
        <w:t>. Το ποσοστό απασχόλησης των ατόμων 20-64 χρόνων στο σύνολο του πληθυσμού ηλικίας 20-64 είχε αυξηθεί στο 7</w:t>
      </w:r>
      <w:r w:rsidR="005753C7" w:rsidRPr="005753C7">
        <w:rPr>
          <w:sz w:val="24"/>
          <w:szCs w:val="24"/>
          <w:u w:color="000000"/>
        </w:rPr>
        <w:t>3,9</w:t>
      </w:r>
      <w:r w:rsidRPr="00311B33">
        <w:rPr>
          <w:sz w:val="24"/>
          <w:szCs w:val="24"/>
          <w:u w:color="000000"/>
        </w:rPr>
        <w:t xml:space="preserve">% </w:t>
      </w:r>
      <w:r w:rsidR="00B870BD">
        <w:rPr>
          <w:sz w:val="24"/>
          <w:szCs w:val="24"/>
          <w:u w:color="000000"/>
        </w:rPr>
        <w:t>το 201</w:t>
      </w:r>
      <w:r w:rsidR="005753C7" w:rsidRPr="005753C7">
        <w:rPr>
          <w:sz w:val="24"/>
          <w:szCs w:val="24"/>
          <w:u w:color="000000"/>
        </w:rPr>
        <w:t>8</w:t>
      </w:r>
      <w:r w:rsidR="00B870BD">
        <w:rPr>
          <w:sz w:val="24"/>
          <w:szCs w:val="24"/>
          <w:u w:color="000000"/>
        </w:rPr>
        <w:t xml:space="preserve"> </w:t>
      </w:r>
      <w:r w:rsidRPr="00311B33">
        <w:rPr>
          <w:sz w:val="24"/>
          <w:szCs w:val="24"/>
          <w:u w:color="000000"/>
        </w:rPr>
        <w:t xml:space="preserve">από </w:t>
      </w:r>
      <w:r w:rsidR="005753C7" w:rsidRPr="005753C7">
        <w:rPr>
          <w:sz w:val="24"/>
          <w:szCs w:val="24"/>
          <w:u w:color="000000"/>
        </w:rPr>
        <w:t>70,8</w:t>
      </w:r>
      <w:r w:rsidRPr="00311B33">
        <w:rPr>
          <w:sz w:val="24"/>
          <w:szCs w:val="24"/>
          <w:u w:color="000000"/>
        </w:rPr>
        <w:t>% το 201</w:t>
      </w:r>
      <w:r w:rsidR="005753C7" w:rsidRPr="005753C7">
        <w:rPr>
          <w:sz w:val="24"/>
          <w:szCs w:val="24"/>
          <w:u w:color="000000"/>
        </w:rPr>
        <w:t>7</w:t>
      </w:r>
      <w:r w:rsidRPr="00311B33">
        <w:rPr>
          <w:sz w:val="24"/>
          <w:szCs w:val="24"/>
          <w:u w:color="000000"/>
        </w:rPr>
        <w:t>.</w:t>
      </w:r>
    </w:p>
    <w:p w:rsidR="00DC2971" w:rsidRPr="00311B33" w:rsidRDefault="00DC2971" w:rsidP="00311B33">
      <w:pPr>
        <w:spacing w:after="0"/>
        <w:jc w:val="both"/>
        <w:rPr>
          <w:rFonts w:eastAsia="Times New Roman" w:cs="Arial"/>
          <w:bCs/>
          <w:sz w:val="24"/>
          <w:szCs w:val="24"/>
          <w:lang w:val="x-none" w:eastAsia="x-none"/>
        </w:rPr>
      </w:pPr>
    </w:p>
    <w:p w:rsidR="009543B0" w:rsidRPr="009543B0" w:rsidRDefault="00DC2971" w:rsidP="00311B33">
      <w:pPr>
        <w:spacing w:after="0"/>
        <w:jc w:val="both"/>
        <w:rPr>
          <w:rFonts w:eastAsia="Times New Roman" w:cs="Arial"/>
          <w:bCs/>
          <w:sz w:val="24"/>
          <w:szCs w:val="24"/>
          <w:lang w:eastAsia="x-none"/>
        </w:rPr>
      </w:pPr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Το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μεγ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αλύτερο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μερίδιο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των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απα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σχολουμένων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συγκεντρωνότ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αν το 201</w:t>
      </w:r>
      <w:r w:rsidR="005753C7">
        <w:rPr>
          <w:rFonts w:eastAsia="Times New Roman" w:cs="Arial"/>
          <w:bCs/>
          <w:sz w:val="24"/>
          <w:szCs w:val="24"/>
          <w:lang w:eastAsia="x-none"/>
        </w:rPr>
        <w:t>9</w:t>
      </w:r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στον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ευρύ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τομέ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α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των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υπ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ηρεσιών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</w:t>
      </w:r>
      <w:r w:rsidR="005753C7">
        <w:rPr>
          <w:rFonts w:eastAsia="Times New Roman" w:cs="Arial"/>
          <w:bCs/>
          <w:sz w:val="24"/>
          <w:szCs w:val="24"/>
          <w:lang w:eastAsia="x-none"/>
        </w:rPr>
        <w:t>79,</w:t>
      </w:r>
      <w:r w:rsidR="000556BC">
        <w:rPr>
          <w:rFonts w:eastAsia="Times New Roman" w:cs="Arial"/>
          <w:bCs/>
          <w:sz w:val="24"/>
          <w:szCs w:val="24"/>
          <w:lang w:eastAsia="x-none"/>
        </w:rPr>
        <w:t>2</w:t>
      </w:r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%,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ενώ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,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οι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ευρείς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τομείς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της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β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ιομηχ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ανίας και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γεωργί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ας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συγκέντρωσ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αν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μικρότερ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α π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οσοστά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</w:t>
      </w:r>
      <w:r w:rsidR="000556BC">
        <w:rPr>
          <w:rFonts w:eastAsia="Times New Roman" w:cs="Arial"/>
          <w:bCs/>
          <w:sz w:val="24"/>
          <w:szCs w:val="24"/>
          <w:lang w:eastAsia="x-none"/>
        </w:rPr>
        <w:t>1</w:t>
      </w:r>
      <w:r w:rsidR="005753C7">
        <w:rPr>
          <w:rFonts w:eastAsia="Times New Roman" w:cs="Arial"/>
          <w:bCs/>
          <w:sz w:val="24"/>
          <w:szCs w:val="24"/>
          <w:lang w:eastAsia="x-none"/>
        </w:rPr>
        <w:t>8,4</w:t>
      </w:r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% και </w:t>
      </w:r>
      <w:r w:rsidR="000556BC">
        <w:rPr>
          <w:rFonts w:eastAsia="Times New Roman" w:cs="Arial"/>
          <w:bCs/>
          <w:sz w:val="24"/>
          <w:szCs w:val="24"/>
          <w:lang w:eastAsia="x-none"/>
        </w:rPr>
        <w:t>2,</w:t>
      </w:r>
      <w:r w:rsidR="005753C7">
        <w:rPr>
          <w:rFonts w:eastAsia="Times New Roman" w:cs="Arial"/>
          <w:bCs/>
          <w:sz w:val="24"/>
          <w:szCs w:val="24"/>
          <w:lang w:eastAsia="x-none"/>
        </w:rPr>
        <w:t>4</w:t>
      </w:r>
      <w:r w:rsidRPr="00311B33">
        <w:rPr>
          <w:rFonts w:eastAsia="Times New Roman" w:cs="Arial"/>
          <w:bCs/>
          <w:sz w:val="24"/>
          <w:szCs w:val="24"/>
          <w:lang w:val="x-none" w:eastAsia="x-none"/>
        </w:rPr>
        <w:t>% α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ντίστοιχ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α). Από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τους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απα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σχολούμενους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το </w:t>
      </w:r>
      <w:r w:rsidR="000556BC">
        <w:rPr>
          <w:rFonts w:eastAsia="Times New Roman" w:cs="Arial"/>
          <w:bCs/>
          <w:sz w:val="24"/>
          <w:szCs w:val="24"/>
          <w:lang w:eastAsia="x-none"/>
        </w:rPr>
        <w:t>88,</w:t>
      </w:r>
      <w:r w:rsidR="005753C7">
        <w:rPr>
          <w:rFonts w:eastAsia="Times New Roman" w:cs="Arial"/>
          <w:bCs/>
          <w:sz w:val="24"/>
          <w:szCs w:val="24"/>
          <w:lang w:eastAsia="x-none"/>
        </w:rPr>
        <w:t>7</w:t>
      </w:r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%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είχ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αν π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λήρη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απα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σχόληση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,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ενώ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το υπ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όλοι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πο </w:t>
      </w:r>
      <w:r w:rsidR="000556BC">
        <w:rPr>
          <w:rFonts w:eastAsia="Times New Roman" w:cs="Arial"/>
          <w:bCs/>
          <w:sz w:val="24"/>
          <w:szCs w:val="24"/>
          <w:lang w:eastAsia="x-none"/>
        </w:rPr>
        <w:t>11,</w:t>
      </w:r>
      <w:r w:rsidR="005753C7">
        <w:rPr>
          <w:rFonts w:eastAsia="Times New Roman" w:cs="Arial"/>
          <w:bCs/>
          <w:sz w:val="24"/>
          <w:szCs w:val="24"/>
          <w:lang w:eastAsia="x-none"/>
        </w:rPr>
        <w:t>3</w:t>
      </w:r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%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είχ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αν 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μερική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 xml:space="preserve"> απα</w:t>
      </w:r>
      <w:proofErr w:type="spellStart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σχόληση</w:t>
      </w:r>
      <w:proofErr w:type="spellEnd"/>
      <w:r w:rsidRPr="00311B33">
        <w:rPr>
          <w:rFonts w:eastAsia="Times New Roman" w:cs="Arial"/>
          <w:bCs/>
          <w:sz w:val="24"/>
          <w:szCs w:val="24"/>
          <w:lang w:val="x-none" w:eastAsia="x-none"/>
        </w:rPr>
        <w:t>.</w:t>
      </w:r>
    </w:p>
    <w:p w:rsidR="00DC2971" w:rsidRPr="00311B33" w:rsidRDefault="00DC2971" w:rsidP="00311B33">
      <w:pPr>
        <w:spacing w:after="0"/>
        <w:contextualSpacing/>
        <w:jc w:val="both"/>
        <w:rPr>
          <w:rFonts w:eastAsia="Calibri" w:cs="Arial"/>
          <w:sz w:val="24"/>
          <w:szCs w:val="24"/>
        </w:rPr>
      </w:pPr>
    </w:p>
    <w:p w:rsidR="00203875" w:rsidRPr="00311B33" w:rsidRDefault="00A02D28" w:rsidP="00656B79">
      <w:pPr>
        <w:spacing w:after="0"/>
        <w:contextualSpacing/>
        <w:jc w:val="both"/>
        <w:rPr>
          <w:rFonts w:ascii="Calibri" w:hAnsi="Calibri"/>
          <w:sz w:val="24"/>
          <w:szCs w:val="24"/>
        </w:rPr>
      </w:pPr>
      <w:r w:rsidRPr="00311B33">
        <w:rPr>
          <w:rFonts w:eastAsia="Calibri" w:cs="Arial"/>
          <w:sz w:val="24"/>
          <w:szCs w:val="24"/>
        </w:rPr>
        <w:t xml:space="preserve">Το ποσοστό </w:t>
      </w:r>
      <w:r w:rsidR="00DC2971" w:rsidRPr="00311B33">
        <w:rPr>
          <w:rFonts w:eastAsia="Calibri" w:cs="Arial"/>
          <w:sz w:val="24"/>
          <w:szCs w:val="24"/>
        </w:rPr>
        <w:t>ανεργίας</w:t>
      </w:r>
      <w:r w:rsidRPr="00311B33">
        <w:rPr>
          <w:rFonts w:eastAsia="Calibri" w:cs="Arial"/>
          <w:sz w:val="24"/>
          <w:szCs w:val="24"/>
        </w:rPr>
        <w:t xml:space="preserve">, το οποίο άρχισε να παρουσιάζει πτωτική πορεία από το δεύτερο τρίμηνο του 2015, </w:t>
      </w:r>
      <w:r w:rsidR="00DC2971" w:rsidRPr="00311B33">
        <w:rPr>
          <w:rFonts w:eastAsia="Calibri" w:cs="Arial"/>
          <w:sz w:val="24"/>
          <w:szCs w:val="24"/>
        </w:rPr>
        <w:t xml:space="preserve">διαμορφώθηκε </w:t>
      </w:r>
      <w:r w:rsidR="00D43CD9" w:rsidRPr="00311B33">
        <w:rPr>
          <w:rFonts w:eastAsia="Calibri" w:cs="Arial"/>
          <w:sz w:val="24"/>
          <w:szCs w:val="24"/>
        </w:rPr>
        <w:t>το 201</w:t>
      </w:r>
      <w:r w:rsidR="00D43CD9">
        <w:rPr>
          <w:rFonts w:eastAsia="Calibri" w:cs="Arial"/>
          <w:sz w:val="24"/>
          <w:szCs w:val="24"/>
        </w:rPr>
        <w:t>9</w:t>
      </w:r>
      <w:r w:rsidR="00D43CD9" w:rsidRPr="00311B33">
        <w:rPr>
          <w:rFonts w:eastAsia="Calibri" w:cs="Arial"/>
          <w:sz w:val="24"/>
          <w:szCs w:val="24"/>
        </w:rPr>
        <w:t xml:space="preserve"> </w:t>
      </w:r>
      <w:r w:rsidR="00DC2971" w:rsidRPr="00311B33">
        <w:rPr>
          <w:rFonts w:eastAsia="Calibri" w:cs="Arial"/>
          <w:sz w:val="24"/>
          <w:szCs w:val="24"/>
        </w:rPr>
        <w:t xml:space="preserve">στο </w:t>
      </w:r>
      <w:r w:rsidR="00D43CD9">
        <w:rPr>
          <w:rFonts w:eastAsia="Calibri" w:cs="Arial"/>
          <w:sz w:val="24"/>
          <w:szCs w:val="24"/>
        </w:rPr>
        <w:t>7,1</w:t>
      </w:r>
      <w:r w:rsidR="00DC2971" w:rsidRPr="00311B33">
        <w:rPr>
          <w:rFonts w:eastAsia="Calibri" w:cs="Arial"/>
          <w:sz w:val="24"/>
          <w:szCs w:val="24"/>
        </w:rPr>
        <w:t xml:space="preserve">% </w:t>
      </w:r>
      <w:r w:rsidR="00833337">
        <w:rPr>
          <w:rFonts w:eastAsia="Calibri" w:cs="Arial"/>
          <w:sz w:val="24"/>
          <w:szCs w:val="24"/>
        </w:rPr>
        <w:t>ή 3</w:t>
      </w:r>
      <w:r w:rsidR="00D43CD9">
        <w:rPr>
          <w:rFonts w:eastAsia="Calibri" w:cs="Arial"/>
          <w:sz w:val="24"/>
          <w:szCs w:val="24"/>
        </w:rPr>
        <w:t>1</w:t>
      </w:r>
      <w:r w:rsidR="00D43CD9" w:rsidRPr="00D43CD9">
        <w:rPr>
          <w:rFonts w:eastAsia="Calibri" w:cs="Arial"/>
          <w:sz w:val="24"/>
          <w:szCs w:val="24"/>
        </w:rPr>
        <w:t>.703</w:t>
      </w:r>
      <w:r w:rsidR="00DC2971" w:rsidRPr="00311B33">
        <w:rPr>
          <w:rFonts w:eastAsia="Calibri" w:cs="Arial"/>
          <w:sz w:val="24"/>
          <w:szCs w:val="24"/>
        </w:rPr>
        <w:t xml:space="preserve"> άτομα</w:t>
      </w:r>
      <w:r w:rsidR="00833337">
        <w:rPr>
          <w:rFonts w:eastAsia="Calibri" w:cs="Arial"/>
          <w:sz w:val="24"/>
          <w:szCs w:val="24"/>
        </w:rPr>
        <w:t>,</w:t>
      </w:r>
      <w:r w:rsidR="00DC2971" w:rsidRPr="00311B33">
        <w:rPr>
          <w:rFonts w:eastAsia="Calibri" w:cs="Arial"/>
          <w:sz w:val="24"/>
          <w:szCs w:val="24"/>
        </w:rPr>
        <w:t xml:space="preserve"> </w:t>
      </w:r>
      <w:r w:rsidR="00833337">
        <w:rPr>
          <w:rFonts w:eastAsia="Calibri" w:cs="Arial"/>
          <w:sz w:val="24"/>
          <w:szCs w:val="24"/>
        </w:rPr>
        <w:t>παρο</w:t>
      </w:r>
      <w:r w:rsidR="00DC2971" w:rsidRPr="00311B33">
        <w:rPr>
          <w:rFonts w:eastAsia="Calibri" w:cs="Arial"/>
          <w:sz w:val="24"/>
          <w:szCs w:val="24"/>
        </w:rPr>
        <w:t xml:space="preserve">υσιάζοντας μείωση κατά </w:t>
      </w:r>
      <w:r w:rsidR="00D43CD9" w:rsidRPr="00D43CD9">
        <w:rPr>
          <w:rFonts w:eastAsia="Calibri" w:cs="Arial"/>
          <w:sz w:val="24"/>
          <w:szCs w:val="24"/>
        </w:rPr>
        <w:t>1,3</w:t>
      </w:r>
      <w:r w:rsidR="00DC2971" w:rsidRPr="00311B33">
        <w:rPr>
          <w:rFonts w:eastAsia="Calibri" w:cs="Arial"/>
          <w:sz w:val="24"/>
          <w:szCs w:val="24"/>
        </w:rPr>
        <w:t xml:space="preserve"> ποσοστιαίες μονάδες σε σχέση με </w:t>
      </w:r>
      <w:r w:rsidR="00833337">
        <w:rPr>
          <w:rFonts w:eastAsia="Calibri" w:cs="Arial"/>
          <w:sz w:val="24"/>
          <w:szCs w:val="24"/>
        </w:rPr>
        <w:t xml:space="preserve">το </w:t>
      </w:r>
      <w:r w:rsidR="00DC2971" w:rsidRPr="00311B33">
        <w:rPr>
          <w:rFonts w:eastAsia="Calibri" w:cs="Arial"/>
          <w:sz w:val="24"/>
          <w:szCs w:val="24"/>
        </w:rPr>
        <w:t>201</w:t>
      </w:r>
      <w:r w:rsidR="009C05B8" w:rsidRPr="009C05B8">
        <w:rPr>
          <w:rFonts w:eastAsia="Calibri" w:cs="Arial"/>
          <w:sz w:val="24"/>
          <w:szCs w:val="24"/>
        </w:rPr>
        <w:t>8</w:t>
      </w:r>
      <w:r w:rsidR="00DC2971" w:rsidRPr="00311B33">
        <w:rPr>
          <w:rFonts w:eastAsia="Calibri" w:cs="Arial"/>
          <w:sz w:val="24"/>
          <w:szCs w:val="24"/>
        </w:rPr>
        <w:t xml:space="preserve"> που ήταν </w:t>
      </w:r>
      <w:r w:rsidR="009C05B8" w:rsidRPr="009C05B8">
        <w:rPr>
          <w:rFonts w:eastAsia="Calibri" w:cs="Arial"/>
          <w:sz w:val="24"/>
          <w:szCs w:val="24"/>
        </w:rPr>
        <w:t>8,4</w:t>
      </w:r>
      <w:r w:rsidR="00DC2971" w:rsidRPr="00311B33">
        <w:rPr>
          <w:rFonts w:eastAsia="Calibri" w:cs="Arial"/>
          <w:sz w:val="24"/>
          <w:szCs w:val="24"/>
        </w:rPr>
        <w:t xml:space="preserve">% </w:t>
      </w:r>
      <w:r w:rsidR="00833337">
        <w:rPr>
          <w:rFonts w:eastAsia="Calibri" w:cs="Arial"/>
          <w:sz w:val="24"/>
          <w:szCs w:val="24"/>
        </w:rPr>
        <w:t>ή</w:t>
      </w:r>
      <w:r w:rsidR="00DC2971" w:rsidRPr="00311B33">
        <w:rPr>
          <w:rFonts w:eastAsia="Calibri" w:cs="Arial"/>
          <w:sz w:val="24"/>
          <w:szCs w:val="24"/>
        </w:rPr>
        <w:t xml:space="preserve"> </w:t>
      </w:r>
      <w:r w:rsidR="009C05B8" w:rsidRPr="009C05B8">
        <w:rPr>
          <w:rFonts w:eastAsia="Calibri" w:cs="Arial"/>
          <w:sz w:val="24"/>
          <w:szCs w:val="24"/>
        </w:rPr>
        <w:t>36.617</w:t>
      </w:r>
      <w:r w:rsidR="00833337">
        <w:rPr>
          <w:rFonts w:eastAsia="Calibri" w:cs="Arial"/>
          <w:sz w:val="24"/>
          <w:szCs w:val="24"/>
        </w:rPr>
        <w:t xml:space="preserve"> </w:t>
      </w:r>
      <w:r w:rsidR="00DC2971" w:rsidRPr="00311B33">
        <w:rPr>
          <w:rFonts w:eastAsia="Calibri" w:cs="Arial"/>
          <w:sz w:val="24"/>
          <w:szCs w:val="24"/>
        </w:rPr>
        <w:t>άτομα</w:t>
      </w:r>
      <w:r w:rsidR="00CA2BA9">
        <w:rPr>
          <w:rFonts w:eastAsia="Calibri" w:cs="Arial"/>
          <w:sz w:val="24"/>
          <w:szCs w:val="24"/>
        </w:rPr>
        <w:t>, γεγονός το οποίο καταδεικνύει τη σημαντική βελτίωση στην αγορά εργασίας</w:t>
      </w:r>
      <w:r w:rsidR="00DC2971" w:rsidRPr="00311B33">
        <w:rPr>
          <w:rFonts w:eastAsia="Calibri" w:cs="Arial"/>
          <w:sz w:val="24"/>
          <w:szCs w:val="24"/>
        </w:rPr>
        <w:t xml:space="preserve">. </w:t>
      </w:r>
      <w:r w:rsidR="00203875" w:rsidRPr="00311B33">
        <w:rPr>
          <w:rFonts w:ascii="Calibri" w:hAnsi="Calibri"/>
          <w:sz w:val="24"/>
          <w:szCs w:val="24"/>
        </w:rPr>
        <w:t>Σε σχέση με τα προηγούμενα χρόνια</w:t>
      </w:r>
      <w:r w:rsidR="00656B79">
        <w:rPr>
          <w:rFonts w:ascii="Calibri" w:hAnsi="Calibri"/>
          <w:sz w:val="24"/>
          <w:szCs w:val="24"/>
        </w:rPr>
        <w:t>, το ποσοστό</w:t>
      </w:r>
      <w:r w:rsidR="00203875" w:rsidRPr="00311B33">
        <w:rPr>
          <w:rFonts w:ascii="Calibri" w:hAnsi="Calibri"/>
          <w:sz w:val="24"/>
          <w:szCs w:val="24"/>
        </w:rPr>
        <w:t xml:space="preserve"> ανεργίας το </w:t>
      </w:r>
      <w:r w:rsidR="009C05B8" w:rsidRPr="009C05B8">
        <w:rPr>
          <w:rFonts w:ascii="Calibri" w:hAnsi="Calibri"/>
          <w:sz w:val="24"/>
          <w:szCs w:val="24"/>
        </w:rPr>
        <w:t xml:space="preserve">2017 </w:t>
      </w:r>
      <w:r w:rsidR="009C05B8">
        <w:rPr>
          <w:rFonts w:ascii="Calibri" w:hAnsi="Calibri"/>
          <w:sz w:val="24"/>
          <w:szCs w:val="24"/>
        </w:rPr>
        <w:t xml:space="preserve">ήταν 11,1%, το </w:t>
      </w:r>
      <w:r w:rsidR="00203875" w:rsidRPr="00311B33">
        <w:rPr>
          <w:rFonts w:ascii="Calibri" w:hAnsi="Calibri"/>
          <w:sz w:val="24"/>
          <w:szCs w:val="24"/>
        </w:rPr>
        <w:t>2016 ήταν 12,9%, το 2015 ήταν 14,9%, το 2014 ήταν 16,1%, και το 2013 ήταν 15,9%.</w:t>
      </w:r>
    </w:p>
    <w:p w:rsidR="00656B79" w:rsidRDefault="00656B79" w:rsidP="00311B33">
      <w:pPr>
        <w:spacing w:after="240"/>
        <w:jc w:val="both"/>
        <w:rPr>
          <w:rFonts w:ascii="Calibri" w:hAnsi="Calibri"/>
          <w:sz w:val="24"/>
          <w:szCs w:val="24"/>
        </w:rPr>
      </w:pPr>
    </w:p>
    <w:p w:rsidR="00203875" w:rsidRDefault="00203875" w:rsidP="00656B79">
      <w:pPr>
        <w:spacing w:after="240"/>
        <w:jc w:val="both"/>
        <w:rPr>
          <w:rFonts w:ascii="Calibri" w:hAnsi="Calibri"/>
          <w:sz w:val="24"/>
          <w:szCs w:val="24"/>
        </w:rPr>
      </w:pPr>
      <w:r w:rsidRPr="00311B33">
        <w:rPr>
          <w:rFonts w:ascii="Calibri" w:hAnsi="Calibri"/>
          <w:sz w:val="24"/>
          <w:szCs w:val="24"/>
        </w:rPr>
        <w:t>Το ποσοστό ανεργίας στους νέους 15-24 ετών διαμορφώθηκε</w:t>
      </w:r>
      <w:r w:rsidR="00A02D28" w:rsidRPr="00311B33">
        <w:rPr>
          <w:rFonts w:ascii="Calibri" w:hAnsi="Calibri"/>
          <w:sz w:val="24"/>
          <w:szCs w:val="24"/>
        </w:rPr>
        <w:t xml:space="preserve"> </w:t>
      </w:r>
      <w:r w:rsidRPr="00311B33">
        <w:rPr>
          <w:rFonts w:ascii="Calibri" w:hAnsi="Calibri"/>
          <w:sz w:val="24"/>
          <w:szCs w:val="24"/>
        </w:rPr>
        <w:t xml:space="preserve">στο </w:t>
      </w:r>
      <w:r w:rsidR="009C05B8">
        <w:rPr>
          <w:rFonts w:ascii="Calibri" w:hAnsi="Calibri"/>
          <w:sz w:val="24"/>
          <w:szCs w:val="24"/>
        </w:rPr>
        <w:t>16,6</w:t>
      </w:r>
      <w:r w:rsidRPr="00311B33">
        <w:rPr>
          <w:rFonts w:ascii="Calibri" w:hAnsi="Calibri"/>
          <w:sz w:val="24"/>
          <w:szCs w:val="24"/>
        </w:rPr>
        <w:t>% το 201</w:t>
      </w:r>
      <w:r w:rsidR="009C05B8">
        <w:rPr>
          <w:rFonts w:ascii="Calibri" w:hAnsi="Calibri"/>
          <w:sz w:val="24"/>
          <w:szCs w:val="24"/>
        </w:rPr>
        <w:t>9</w:t>
      </w:r>
      <w:r w:rsidRPr="00311B33">
        <w:rPr>
          <w:rFonts w:ascii="Calibri" w:hAnsi="Calibri"/>
          <w:sz w:val="24"/>
          <w:szCs w:val="24"/>
        </w:rPr>
        <w:t xml:space="preserve">, παρουσιάζοντας μείωση κατά </w:t>
      </w:r>
      <w:r w:rsidR="009C05B8">
        <w:rPr>
          <w:rFonts w:ascii="Calibri" w:hAnsi="Calibri"/>
          <w:sz w:val="24"/>
          <w:szCs w:val="24"/>
        </w:rPr>
        <w:t>3,6</w:t>
      </w:r>
      <w:r w:rsidRPr="00311B33">
        <w:rPr>
          <w:rFonts w:ascii="Calibri" w:hAnsi="Calibri"/>
          <w:sz w:val="24"/>
          <w:szCs w:val="24"/>
        </w:rPr>
        <w:t xml:space="preserve"> ποσοστιαίες μονάδες σε σχέση με το 201</w:t>
      </w:r>
      <w:r w:rsidR="009C05B8">
        <w:rPr>
          <w:rFonts w:ascii="Calibri" w:hAnsi="Calibri"/>
          <w:sz w:val="24"/>
          <w:szCs w:val="24"/>
        </w:rPr>
        <w:t>8</w:t>
      </w:r>
      <w:r w:rsidRPr="00311B33">
        <w:rPr>
          <w:rFonts w:ascii="Calibri" w:hAnsi="Calibri"/>
          <w:sz w:val="24"/>
          <w:szCs w:val="24"/>
        </w:rPr>
        <w:t xml:space="preserve"> που ήταν </w:t>
      </w:r>
      <w:r w:rsidR="009C05B8">
        <w:rPr>
          <w:rFonts w:ascii="Calibri" w:hAnsi="Calibri"/>
          <w:sz w:val="24"/>
          <w:szCs w:val="24"/>
        </w:rPr>
        <w:t>20,2%</w:t>
      </w:r>
      <w:r w:rsidRPr="00311B33">
        <w:rPr>
          <w:rFonts w:ascii="Calibri" w:hAnsi="Calibri"/>
          <w:sz w:val="24"/>
          <w:szCs w:val="24"/>
        </w:rPr>
        <w:t xml:space="preserve">. </w:t>
      </w:r>
      <w:r w:rsidR="00656B79">
        <w:rPr>
          <w:rFonts w:ascii="Calibri" w:hAnsi="Calibri"/>
          <w:sz w:val="24"/>
          <w:szCs w:val="24"/>
        </w:rPr>
        <w:t>Τ</w:t>
      </w:r>
      <w:r w:rsidRPr="00311B33">
        <w:rPr>
          <w:rFonts w:ascii="Calibri" w:hAnsi="Calibri"/>
          <w:sz w:val="24"/>
          <w:szCs w:val="24"/>
        </w:rPr>
        <w:t xml:space="preserve">ο ποσοστό ανεργίας στους νέους 15-24 ετών </w:t>
      </w:r>
      <w:r w:rsidR="009C05B8">
        <w:rPr>
          <w:rFonts w:ascii="Calibri" w:hAnsi="Calibri"/>
          <w:sz w:val="24"/>
          <w:szCs w:val="24"/>
        </w:rPr>
        <w:t xml:space="preserve">το 2017 είχε φτάσει στο </w:t>
      </w:r>
      <w:r w:rsidR="009C05B8">
        <w:rPr>
          <w:rFonts w:ascii="Calibri" w:hAnsi="Calibri"/>
          <w:sz w:val="24"/>
          <w:szCs w:val="24"/>
        </w:rPr>
        <w:lastRenderedPageBreak/>
        <w:t xml:space="preserve">24,7%, </w:t>
      </w:r>
      <w:r w:rsidRPr="00311B33">
        <w:rPr>
          <w:rFonts w:ascii="Calibri" w:hAnsi="Calibri"/>
          <w:sz w:val="24"/>
          <w:szCs w:val="24"/>
        </w:rPr>
        <w:t>το 2016 στο 29,1%, το 2015 στο 32,8%, το 2014 στο 36,0%  και το 2013 στο 38,9%.</w:t>
      </w:r>
    </w:p>
    <w:p w:rsidR="00656B79" w:rsidRPr="00E15797" w:rsidRDefault="00656B79" w:rsidP="00656B79">
      <w:pPr>
        <w:spacing w:after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 μακροπρόθεσμη ανεργία (άνω των 12 μηνών) ως ποσοστό του εργα</w:t>
      </w:r>
      <w:r w:rsidR="009C05B8">
        <w:rPr>
          <w:rFonts w:ascii="Calibri" w:hAnsi="Calibri"/>
          <w:sz w:val="24"/>
          <w:szCs w:val="24"/>
        </w:rPr>
        <w:t>τικού δυναμικού μειώθηκε στο 2,1</w:t>
      </w:r>
      <w:r>
        <w:rPr>
          <w:rFonts w:ascii="Calibri" w:hAnsi="Calibri"/>
          <w:sz w:val="24"/>
          <w:szCs w:val="24"/>
        </w:rPr>
        <w:t>%</w:t>
      </w:r>
      <w:r w:rsidR="009C05B8">
        <w:rPr>
          <w:rFonts w:ascii="Calibri" w:hAnsi="Calibri"/>
          <w:sz w:val="24"/>
          <w:szCs w:val="24"/>
        </w:rPr>
        <w:t xml:space="preserve"> σε σχέση με 2,7% που ήταν </w:t>
      </w:r>
      <w:r>
        <w:rPr>
          <w:rFonts w:ascii="Calibri" w:hAnsi="Calibri"/>
          <w:sz w:val="24"/>
          <w:szCs w:val="24"/>
        </w:rPr>
        <w:t xml:space="preserve">το 2018 </w:t>
      </w:r>
      <w:r w:rsidR="009C05B8">
        <w:rPr>
          <w:rFonts w:ascii="Calibri" w:hAnsi="Calibri"/>
          <w:sz w:val="24"/>
          <w:szCs w:val="24"/>
        </w:rPr>
        <w:t>και</w:t>
      </w:r>
      <w:r>
        <w:rPr>
          <w:rFonts w:ascii="Calibri" w:hAnsi="Calibri"/>
          <w:sz w:val="24"/>
          <w:szCs w:val="24"/>
        </w:rPr>
        <w:t xml:space="preserve"> 4,5% που ήταν το 2017. </w:t>
      </w:r>
    </w:p>
    <w:p w:rsidR="00656B79" w:rsidRDefault="00656B79" w:rsidP="00311B33">
      <w:pPr>
        <w:spacing w:after="240"/>
        <w:jc w:val="both"/>
        <w:rPr>
          <w:rFonts w:ascii="Calibri" w:hAnsi="Calibri"/>
          <w:sz w:val="24"/>
          <w:szCs w:val="24"/>
        </w:rPr>
      </w:pPr>
    </w:p>
    <w:p w:rsidR="00656B79" w:rsidRDefault="003F24FA" w:rsidP="00656B79">
      <w:pPr>
        <w:spacing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6D7F00">
        <w:rPr>
          <w:rFonts w:ascii="Calibri" w:hAnsi="Calibri"/>
          <w:b/>
          <w:sz w:val="24"/>
          <w:szCs w:val="24"/>
        </w:rPr>
        <w:t>Πίνακας 1: Ποσοστό ανεργίας και μακροπρόθεσμη ανεργία 2013-201</w:t>
      </w:r>
      <w:r w:rsidR="009C05B8">
        <w:rPr>
          <w:rFonts w:ascii="Calibri" w:hAnsi="Calibri"/>
          <w:b/>
          <w:sz w:val="24"/>
          <w:szCs w:val="24"/>
        </w:rPr>
        <w:t>9</w:t>
      </w:r>
      <w:r w:rsidR="006D7F00">
        <w:rPr>
          <w:rFonts w:ascii="Calibri" w:hAnsi="Calibri"/>
          <w:b/>
          <w:sz w:val="24"/>
          <w:szCs w:val="24"/>
        </w:rPr>
        <w:t xml:space="preserve">,  </w:t>
      </w:r>
    </w:p>
    <w:p w:rsidR="003F24FA" w:rsidRPr="006D7F00" w:rsidRDefault="00D9690C" w:rsidP="00656B79">
      <w:pPr>
        <w:spacing w:after="24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Πηγή</w:t>
      </w:r>
      <w:r w:rsidRPr="00D9690C">
        <w:rPr>
          <w:rFonts w:ascii="Calibri" w:hAnsi="Calibri"/>
          <w:b/>
          <w:sz w:val="24"/>
          <w:szCs w:val="24"/>
        </w:rPr>
        <w:t xml:space="preserve"> : </w:t>
      </w:r>
      <w:r w:rsidR="003F24FA" w:rsidRPr="006D7F00">
        <w:rPr>
          <w:rFonts w:ascii="Calibri" w:hAnsi="Calibri"/>
          <w:b/>
          <w:sz w:val="24"/>
          <w:szCs w:val="24"/>
        </w:rPr>
        <w:t>Έρευνα Εργατικού Δυναμικού</w:t>
      </w:r>
      <w:r>
        <w:rPr>
          <w:rFonts w:ascii="Calibri" w:hAnsi="Calibri"/>
          <w:b/>
          <w:sz w:val="24"/>
          <w:szCs w:val="24"/>
        </w:rPr>
        <w:t xml:space="preserve"> (ΕΕΔ)</w:t>
      </w:r>
    </w:p>
    <w:tbl>
      <w:tblPr>
        <w:tblStyle w:val="TableGrid"/>
        <w:tblW w:w="8613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130"/>
        <w:gridCol w:w="1947"/>
        <w:gridCol w:w="2410"/>
        <w:gridCol w:w="2126"/>
      </w:tblGrid>
      <w:tr w:rsidR="003F24FA" w:rsidTr="00DA28E1">
        <w:trPr>
          <w:trHeight w:val="967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F24FA" w:rsidRDefault="003F24FA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9690C" w:rsidRDefault="003F24FA" w:rsidP="00D9690C">
            <w:pPr>
              <w:spacing w:after="240"/>
              <w:jc w:val="center"/>
              <w:rPr>
                <w:rFonts w:ascii="Calibri" w:hAnsi="Calibri"/>
                <w:b/>
              </w:rPr>
            </w:pPr>
            <w:r w:rsidRPr="00D9690C">
              <w:rPr>
                <w:rFonts w:ascii="Calibri" w:hAnsi="Calibri"/>
                <w:b/>
              </w:rPr>
              <w:t xml:space="preserve">Ποσοστό </w:t>
            </w:r>
            <w:r w:rsidR="009C05B8" w:rsidRPr="00D9690C">
              <w:rPr>
                <w:rFonts w:ascii="Calibri" w:hAnsi="Calibri"/>
                <w:b/>
              </w:rPr>
              <w:t xml:space="preserve">(%) </w:t>
            </w:r>
            <w:r w:rsidRPr="00D9690C">
              <w:rPr>
                <w:rFonts w:ascii="Calibri" w:hAnsi="Calibri"/>
                <w:b/>
              </w:rPr>
              <w:t>ανεργίας</w:t>
            </w:r>
          </w:p>
          <w:p w:rsidR="003F24FA" w:rsidRPr="00D9690C" w:rsidRDefault="003F24FA" w:rsidP="00D9690C">
            <w:pPr>
              <w:spacing w:after="240"/>
              <w:jc w:val="center"/>
              <w:rPr>
                <w:rFonts w:ascii="Calibri" w:hAnsi="Calibri"/>
                <w:b/>
              </w:rPr>
            </w:pPr>
            <w:r w:rsidRPr="00D9690C">
              <w:rPr>
                <w:rFonts w:ascii="Calibri" w:hAnsi="Calibri"/>
                <w:b/>
              </w:rPr>
              <w:t>(ηλικίες 15+)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9690C" w:rsidRDefault="003F24FA" w:rsidP="006D7F00">
            <w:pPr>
              <w:spacing w:after="240"/>
              <w:jc w:val="center"/>
              <w:rPr>
                <w:rFonts w:ascii="Calibri" w:hAnsi="Calibri"/>
                <w:b/>
              </w:rPr>
            </w:pPr>
            <w:r w:rsidRPr="00D9690C">
              <w:rPr>
                <w:rFonts w:ascii="Calibri" w:hAnsi="Calibri"/>
                <w:b/>
              </w:rPr>
              <w:t xml:space="preserve">Ποσοστό </w:t>
            </w:r>
            <w:r w:rsidR="009C05B8" w:rsidRPr="00D9690C">
              <w:rPr>
                <w:rFonts w:ascii="Calibri" w:hAnsi="Calibri"/>
                <w:b/>
              </w:rPr>
              <w:t>(%)</w:t>
            </w:r>
            <w:r w:rsidR="009C05B8" w:rsidRPr="00D9690C">
              <w:rPr>
                <w:rFonts w:ascii="Calibri" w:hAnsi="Calibri"/>
                <w:b/>
              </w:rPr>
              <w:t xml:space="preserve"> </w:t>
            </w:r>
            <w:r w:rsidRPr="00D9690C">
              <w:rPr>
                <w:rFonts w:ascii="Calibri" w:hAnsi="Calibri"/>
                <w:b/>
              </w:rPr>
              <w:t xml:space="preserve">ανεργίας στους νέους </w:t>
            </w:r>
          </w:p>
          <w:p w:rsidR="003F24FA" w:rsidRPr="00D9690C" w:rsidRDefault="003F24FA" w:rsidP="006D7F00">
            <w:pPr>
              <w:spacing w:after="240"/>
              <w:jc w:val="center"/>
              <w:rPr>
                <w:rFonts w:ascii="Calibri" w:hAnsi="Calibri"/>
                <w:b/>
              </w:rPr>
            </w:pPr>
            <w:r w:rsidRPr="00D9690C">
              <w:rPr>
                <w:rFonts w:ascii="Calibri" w:hAnsi="Calibri"/>
                <w:b/>
              </w:rPr>
              <w:t>(ηλικίες 15-24)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F24FA" w:rsidRPr="00D9690C" w:rsidRDefault="003F24FA" w:rsidP="006D7F00">
            <w:pPr>
              <w:spacing w:after="240"/>
              <w:jc w:val="center"/>
              <w:rPr>
                <w:rFonts w:ascii="Calibri" w:hAnsi="Calibri"/>
                <w:b/>
              </w:rPr>
            </w:pPr>
            <w:r w:rsidRPr="00D9690C">
              <w:rPr>
                <w:rFonts w:ascii="Calibri" w:hAnsi="Calibri"/>
                <w:b/>
              </w:rPr>
              <w:t>Μακροπρόθεσμη ανεργία</w:t>
            </w:r>
            <w:r w:rsidR="00656B79" w:rsidRPr="00D9690C">
              <w:rPr>
                <w:rFonts w:ascii="Calibri" w:hAnsi="Calibri"/>
                <w:b/>
              </w:rPr>
              <w:t>- % στο εργατικό δυναμικό</w:t>
            </w:r>
          </w:p>
        </w:tc>
      </w:tr>
      <w:tr w:rsidR="003F24FA" w:rsidTr="00DA28E1">
        <w:tc>
          <w:tcPr>
            <w:tcW w:w="213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F24FA" w:rsidRDefault="00506BB8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2013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15,9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6,1</w:t>
            </w:r>
          </w:p>
        </w:tc>
      </w:tr>
      <w:tr w:rsidR="003F24FA" w:rsidTr="00DA28E1">
        <w:tc>
          <w:tcPr>
            <w:tcW w:w="21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F24FA" w:rsidRDefault="00506BB8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2014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7,7</w:t>
            </w:r>
          </w:p>
        </w:tc>
      </w:tr>
      <w:tr w:rsidR="003F24FA" w:rsidTr="00DA28E1">
        <w:tc>
          <w:tcPr>
            <w:tcW w:w="213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2015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14,9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6,8</w:t>
            </w:r>
          </w:p>
        </w:tc>
      </w:tr>
      <w:tr w:rsidR="003F24FA" w:rsidTr="00DA28E1">
        <w:tc>
          <w:tcPr>
            <w:tcW w:w="21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2016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12,9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29,1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5,8</w:t>
            </w:r>
          </w:p>
        </w:tc>
      </w:tr>
      <w:tr w:rsidR="003F24FA" w:rsidTr="00DA28E1">
        <w:tc>
          <w:tcPr>
            <w:tcW w:w="213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2017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F24FA" w:rsidRDefault="006D7F00" w:rsidP="00656B79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11,</w:t>
            </w:r>
            <w:r w:rsidR="00656B7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4,5</w:t>
            </w:r>
          </w:p>
        </w:tc>
      </w:tr>
      <w:tr w:rsidR="003F24FA" w:rsidTr="00DA28E1">
        <w:tc>
          <w:tcPr>
            <w:tcW w:w="21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F24FA" w:rsidRDefault="006D7F00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2018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F24FA" w:rsidRDefault="00656B79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F24FA" w:rsidRDefault="00656B79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20,2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F24FA" w:rsidRDefault="00656B79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2,7</w:t>
            </w:r>
          </w:p>
        </w:tc>
      </w:tr>
      <w:tr w:rsidR="009C05B8" w:rsidTr="00DA28E1">
        <w:tc>
          <w:tcPr>
            <w:tcW w:w="2130" w:type="dxa"/>
            <w:shd w:val="clear" w:color="auto" w:fill="E5DFEC" w:themeFill="accent4" w:themeFillTint="33"/>
          </w:tcPr>
          <w:p w:rsidR="009C05B8" w:rsidRDefault="009C05B8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2019</w:t>
            </w:r>
          </w:p>
        </w:tc>
        <w:tc>
          <w:tcPr>
            <w:tcW w:w="1947" w:type="dxa"/>
            <w:shd w:val="clear" w:color="auto" w:fill="E5DFEC" w:themeFill="accent4" w:themeFillTint="33"/>
          </w:tcPr>
          <w:p w:rsidR="009C05B8" w:rsidRDefault="009C05B8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7,1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9C05B8" w:rsidRDefault="009C05B8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16,6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9C05B8" w:rsidRDefault="009C05B8" w:rsidP="006D7F00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2,1</w:t>
            </w:r>
          </w:p>
        </w:tc>
      </w:tr>
    </w:tbl>
    <w:p w:rsidR="00E15797" w:rsidRDefault="00E15797" w:rsidP="00311B33">
      <w:pPr>
        <w:spacing w:after="240"/>
        <w:jc w:val="both"/>
        <w:rPr>
          <w:rFonts w:ascii="Calibri" w:hAnsi="Calibri"/>
          <w:sz w:val="24"/>
          <w:szCs w:val="24"/>
        </w:rPr>
      </w:pPr>
    </w:p>
    <w:p w:rsidR="00E15797" w:rsidRPr="00E15797" w:rsidRDefault="00E15797" w:rsidP="00311B33">
      <w:pPr>
        <w:spacing w:after="240"/>
        <w:jc w:val="both"/>
        <w:rPr>
          <w:rFonts w:ascii="Calibri" w:hAnsi="Calibri"/>
          <w:sz w:val="24"/>
          <w:szCs w:val="24"/>
        </w:rPr>
      </w:pPr>
    </w:p>
    <w:p w:rsidR="00B92C8A" w:rsidRPr="001C51FF" w:rsidRDefault="00B92C8A" w:rsidP="00B92C8A">
      <w:pPr>
        <w:pStyle w:val="ListParagraph"/>
        <w:numPr>
          <w:ilvl w:val="0"/>
          <w:numId w:val="5"/>
        </w:numPr>
        <w:rPr>
          <w:rFonts w:ascii="Calibri" w:hAnsi="Calibri"/>
          <w:sz w:val="26"/>
          <w:szCs w:val="26"/>
          <w:lang w:val="el-GR"/>
        </w:rPr>
      </w:pPr>
      <w:r w:rsidRPr="00E15797">
        <w:rPr>
          <w:rFonts w:ascii="Calibri" w:hAnsi="Calibri"/>
          <w:lang w:val="el-GR"/>
        </w:rPr>
        <w:br w:type="page"/>
      </w:r>
      <w:r w:rsidR="00EC25BD" w:rsidRPr="009B7BBA">
        <w:rPr>
          <w:rFonts w:asciiTheme="minorHAnsi" w:eastAsia="Calibri" w:hAnsiTheme="minorHAnsi" w:cs="Arial"/>
          <w:sz w:val="26"/>
          <w:szCs w:val="26"/>
          <w:lang w:val="el-GR"/>
        </w:rPr>
        <w:lastRenderedPageBreak/>
        <w:t xml:space="preserve">Ανάλυση </w:t>
      </w:r>
      <w:r w:rsidR="00EC25BD">
        <w:rPr>
          <w:rFonts w:asciiTheme="minorHAnsi" w:eastAsia="Calibri" w:hAnsiTheme="minorHAnsi" w:cs="Arial"/>
          <w:sz w:val="26"/>
          <w:szCs w:val="26"/>
          <w:lang w:val="el-GR"/>
        </w:rPr>
        <w:t>Ε</w:t>
      </w:r>
      <w:r w:rsidR="00EC25BD" w:rsidRPr="009B7BBA">
        <w:rPr>
          <w:rFonts w:asciiTheme="minorHAnsi" w:eastAsia="Calibri" w:hAnsiTheme="minorHAnsi" w:cs="Arial"/>
          <w:sz w:val="26"/>
          <w:szCs w:val="26"/>
          <w:lang w:val="el-GR"/>
        </w:rPr>
        <w:t xml:space="preserve">τήσιων </w:t>
      </w:r>
      <w:r w:rsidR="00EC25BD">
        <w:rPr>
          <w:rFonts w:asciiTheme="minorHAnsi" w:eastAsia="Calibri" w:hAnsiTheme="minorHAnsi" w:cs="Arial"/>
          <w:sz w:val="26"/>
          <w:szCs w:val="26"/>
          <w:lang w:val="el-GR"/>
        </w:rPr>
        <w:t>Στατιστικών Σ</w:t>
      </w:r>
      <w:r w:rsidR="00EC25BD" w:rsidRPr="009B7BBA">
        <w:rPr>
          <w:rFonts w:asciiTheme="minorHAnsi" w:eastAsia="Calibri" w:hAnsiTheme="minorHAnsi" w:cs="Arial"/>
          <w:sz w:val="26"/>
          <w:szCs w:val="26"/>
          <w:lang w:val="el-GR"/>
        </w:rPr>
        <w:t xml:space="preserve">τοιχείων </w:t>
      </w:r>
      <w:r w:rsidR="00EC25BD">
        <w:rPr>
          <w:rFonts w:asciiTheme="minorHAnsi" w:eastAsia="Calibri" w:hAnsiTheme="minorHAnsi" w:cs="Arial"/>
          <w:sz w:val="26"/>
          <w:szCs w:val="26"/>
          <w:lang w:val="el-GR"/>
        </w:rPr>
        <w:t>Ε</w:t>
      </w:r>
      <w:r w:rsidR="00EC25BD" w:rsidRPr="009B7BBA">
        <w:rPr>
          <w:rFonts w:asciiTheme="minorHAnsi" w:eastAsia="Calibri" w:hAnsiTheme="minorHAnsi" w:cs="Arial"/>
          <w:sz w:val="26"/>
          <w:szCs w:val="26"/>
          <w:lang w:val="el-GR"/>
        </w:rPr>
        <w:t xml:space="preserve">γγεγραμμένης </w:t>
      </w:r>
      <w:r w:rsidR="00EC25BD">
        <w:rPr>
          <w:rFonts w:asciiTheme="minorHAnsi" w:eastAsia="Calibri" w:hAnsiTheme="minorHAnsi" w:cs="Arial"/>
          <w:sz w:val="26"/>
          <w:szCs w:val="26"/>
          <w:lang w:val="el-GR"/>
        </w:rPr>
        <w:t>Α</w:t>
      </w:r>
      <w:r w:rsidR="00EC25BD" w:rsidRPr="009B7BBA">
        <w:rPr>
          <w:rFonts w:asciiTheme="minorHAnsi" w:eastAsia="Calibri" w:hAnsiTheme="minorHAnsi" w:cs="Arial"/>
          <w:sz w:val="26"/>
          <w:szCs w:val="26"/>
          <w:lang w:val="el-GR"/>
        </w:rPr>
        <w:t>νεργίας</w:t>
      </w:r>
      <w:r w:rsidR="00EC25BD" w:rsidRPr="001C51FF">
        <w:rPr>
          <w:rFonts w:ascii="Calibri" w:hAnsi="Calibri"/>
          <w:sz w:val="26"/>
          <w:szCs w:val="26"/>
          <w:lang w:val="el-GR"/>
        </w:rPr>
        <w:t xml:space="preserve"> </w:t>
      </w:r>
      <w:r w:rsidRPr="001C51FF">
        <w:rPr>
          <w:rFonts w:ascii="Calibri" w:hAnsi="Calibri"/>
          <w:sz w:val="26"/>
          <w:szCs w:val="26"/>
          <w:lang w:val="el-GR"/>
        </w:rPr>
        <w:t>201</w:t>
      </w:r>
      <w:r w:rsidR="0010268B" w:rsidRPr="001C51FF">
        <w:rPr>
          <w:rFonts w:ascii="Calibri" w:hAnsi="Calibri"/>
          <w:sz w:val="26"/>
          <w:szCs w:val="26"/>
          <w:lang w:val="el-GR"/>
        </w:rPr>
        <w:t>9</w:t>
      </w:r>
      <w:r w:rsidR="006E30B0">
        <w:rPr>
          <w:rStyle w:val="FootnoteReference"/>
          <w:rFonts w:ascii="Calibri" w:hAnsi="Calibri"/>
          <w:sz w:val="26"/>
          <w:szCs w:val="26"/>
        </w:rPr>
        <w:footnoteReference w:id="2"/>
      </w:r>
    </w:p>
    <w:p w:rsidR="00B92C8A" w:rsidRPr="00B92C8A" w:rsidRDefault="00B92C8A" w:rsidP="00B92C8A">
      <w:pPr>
        <w:spacing w:after="240"/>
        <w:jc w:val="both"/>
        <w:rPr>
          <w:rFonts w:ascii="Calibri" w:hAnsi="Calibri"/>
          <w:sz w:val="24"/>
          <w:szCs w:val="24"/>
        </w:rPr>
      </w:pPr>
    </w:p>
    <w:p w:rsidR="00B92C8A" w:rsidRDefault="00B92C8A" w:rsidP="00B92C8A">
      <w:pPr>
        <w:spacing w:after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 εγγεγραμμένη ανεργία το 201</w:t>
      </w:r>
      <w:r w:rsidR="0010268B" w:rsidRPr="0010268B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 έφτασε κατά μέσο όρο στα </w:t>
      </w:r>
      <w:r w:rsidR="0010268B">
        <w:rPr>
          <w:rFonts w:ascii="Calibri" w:hAnsi="Calibri"/>
          <w:sz w:val="24"/>
          <w:szCs w:val="24"/>
        </w:rPr>
        <w:t>22</w:t>
      </w:r>
      <w:r w:rsidR="0010268B" w:rsidRPr="0010268B">
        <w:rPr>
          <w:rFonts w:ascii="Calibri" w:hAnsi="Calibri"/>
          <w:sz w:val="24"/>
          <w:szCs w:val="24"/>
        </w:rPr>
        <w:t>.</w:t>
      </w:r>
      <w:r w:rsidR="0010268B">
        <w:rPr>
          <w:rFonts w:ascii="Calibri" w:hAnsi="Calibri"/>
          <w:sz w:val="24"/>
          <w:szCs w:val="24"/>
        </w:rPr>
        <w:t>321</w:t>
      </w:r>
      <w:r>
        <w:rPr>
          <w:rFonts w:ascii="Calibri" w:hAnsi="Calibri"/>
          <w:sz w:val="24"/>
          <w:szCs w:val="24"/>
        </w:rPr>
        <w:t xml:space="preserve"> άτομα ενώ το 201</w:t>
      </w:r>
      <w:r w:rsidR="0010268B" w:rsidRPr="0010268B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ήταν </w:t>
      </w:r>
      <w:r w:rsidR="0010268B" w:rsidRPr="0010268B">
        <w:rPr>
          <w:rFonts w:ascii="Calibri" w:hAnsi="Calibri"/>
          <w:sz w:val="24"/>
          <w:szCs w:val="24"/>
        </w:rPr>
        <w:t>26.766</w:t>
      </w:r>
      <w:r>
        <w:rPr>
          <w:rFonts w:ascii="Calibri" w:hAnsi="Calibri"/>
          <w:sz w:val="24"/>
          <w:szCs w:val="24"/>
        </w:rPr>
        <w:t xml:space="preserve"> άτομα. Παρουσιάστηκε δηλαδή μείωση </w:t>
      </w:r>
      <w:r w:rsidR="0010268B" w:rsidRPr="0010268B">
        <w:rPr>
          <w:rFonts w:ascii="Calibri" w:hAnsi="Calibri"/>
          <w:sz w:val="24"/>
          <w:szCs w:val="24"/>
        </w:rPr>
        <w:t>4.445</w:t>
      </w:r>
      <w:r>
        <w:rPr>
          <w:rFonts w:ascii="Calibri" w:hAnsi="Calibri"/>
          <w:sz w:val="24"/>
          <w:szCs w:val="24"/>
        </w:rPr>
        <w:t xml:space="preserve"> </w:t>
      </w:r>
      <w:r w:rsidR="0010268B">
        <w:rPr>
          <w:rFonts w:ascii="Calibri" w:hAnsi="Calibri"/>
          <w:sz w:val="24"/>
          <w:szCs w:val="24"/>
        </w:rPr>
        <w:t>ατόμων ή 17</w:t>
      </w:r>
      <w:r>
        <w:rPr>
          <w:rFonts w:ascii="Calibri" w:hAnsi="Calibri"/>
          <w:sz w:val="24"/>
          <w:szCs w:val="24"/>
        </w:rPr>
        <w:t xml:space="preserve">%. Κατά φύλο, οι γυναίκες αριθμούσαν </w:t>
      </w:r>
      <w:r w:rsidR="0010268B">
        <w:rPr>
          <w:rFonts w:ascii="Calibri" w:hAnsi="Calibri"/>
          <w:sz w:val="24"/>
          <w:szCs w:val="24"/>
        </w:rPr>
        <w:t>12.619</w:t>
      </w:r>
      <w:r>
        <w:rPr>
          <w:rFonts w:ascii="Calibri" w:hAnsi="Calibri"/>
          <w:sz w:val="24"/>
          <w:szCs w:val="24"/>
        </w:rPr>
        <w:t xml:space="preserve"> άτομα ή 5</w:t>
      </w:r>
      <w:r w:rsidR="0010268B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 xml:space="preserve">% ενώ οι άντρες </w:t>
      </w:r>
      <w:r w:rsidR="0010268B">
        <w:rPr>
          <w:rFonts w:ascii="Calibri" w:hAnsi="Calibri"/>
          <w:sz w:val="24"/>
          <w:szCs w:val="24"/>
        </w:rPr>
        <w:t>9.702 άτομα ή 43</w:t>
      </w:r>
      <w:r>
        <w:rPr>
          <w:rFonts w:ascii="Calibri" w:hAnsi="Calibri"/>
          <w:sz w:val="24"/>
          <w:szCs w:val="24"/>
        </w:rPr>
        <w:t>%.</w:t>
      </w:r>
    </w:p>
    <w:p w:rsidR="00B92C8A" w:rsidRDefault="00B92C8A" w:rsidP="00B92C8A">
      <w:pPr>
        <w:spacing w:after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Κατά επαρχία, η Λευκωσία συγκεντρώνει τον μεγαλύτερο αριθμό εγγεγραμμένων ανέργων (</w:t>
      </w:r>
      <w:r w:rsidR="0010268B" w:rsidRPr="0010268B">
        <w:rPr>
          <w:rFonts w:ascii="Calibri" w:hAnsi="Calibri"/>
          <w:sz w:val="24"/>
          <w:szCs w:val="24"/>
        </w:rPr>
        <w:t>7.136</w:t>
      </w:r>
      <w:r>
        <w:rPr>
          <w:rFonts w:ascii="Calibri" w:hAnsi="Calibri"/>
          <w:sz w:val="24"/>
          <w:szCs w:val="24"/>
        </w:rPr>
        <w:t xml:space="preserve"> άτομα ή 32%), ακολουθεί η επαρχία Λεμεσού (</w:t>
      </w:r>
      <w:r w:rsidR="0010268B" w:rsidRPr="0010268B">
        <w:rPr>
          <w:rFonts w:ascii="Calibri" w:hAnsi="Calibri"/>
          <w:sz w:val="24"/>
          <w:szCs w:val="24"/>
        </w:rPr>
        <w:t>5.627</w:t>
      </w:r>
      <w:r>
        <w:rPr>
          <w:rFonts w:ascii="Calibri" w:hAnsi="Calibri"/>
          <w:sz w:val="24"/>
          <w:szCs w:val="24"/>
        </w:rPr>
        <w:t xml:space="preserve"> άτομα ή 2</w:t>
      </w:r>
      <w:r w:rsidR="0010268B" w:rsidRPr="0010268B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%), η Λάρνακα</w:t>
      </w:r>
      <w:r w:rsidR="00E45C8D">
        <w:rPr>
          <w:rFonts w:ascii="Calibri" w:hAnsi="Calibri"/>
          <w:sz w:val="24"/>
          <w:szCs w:val="24"/>
        </w:rPr>
        <w:t xml:space="preserve"> (</w:t>
      </w:r>
      <w:r w:rsidR="0010268B" w:rsidRPr="0010268B">
        <w:rPr>
          <w:rFonts w:ascii="Calibri" w:hAnsi="Calibri"/>
          <w:sz w:val="24"/>
          <w:szCs w:val="24"/>
        </w:rPr>
        <w:t>3.753</w:t>
      </w:r>
      <w:r w:rsidR="00E45C8D">
        <w:rPr>
          <w:rFonts w:ascii="Calibri" w:hAnsi="Calibri"/>
          <w:sz w:val="24"/>
          <w:szCs w:val="24"/>
        </w:rPr>
        <w:t xml:space="preserve"> άτομα ή 1</w:t>
      </w:r>
      <w:r w:rsidR="0010268B" w:rsidRPr="0010268B">
        <w:rPr>
          <w:rFonts w:ascii="Calibri" w:hAnsi="Calibri"/>
          <w:sz w:val="24"/>
          <w:szCs w:val="24"/>
        </w:rPr>
        <w:t>7</w:t>
      </w:r>
      <w:r w:rsidR="00E45C8D">
        <w:rPr>
          <w:rFonts w:ascii="Calibri" w:hAnsi="Calibri"/>
          <w:sz w:val="24"/>
          <w:szCs w:val="24"/>
        </w:rPr>
        <w:t>%</w:t>
      </w:r>
      <w:r w:rsidR="007C6ACD">
        <w:rPr>
          <w:rFonts w:ascii="Calibri" w:hAnsi="Calibri"/>
          <w:sz w:val="24"/>
          <w:szCs w:val="24"/>
        </w:rPr>
        <w:t>)</w:t>
      </w:r>
      <w:r w:rsidR="00E45C8D">
        <w:rPr>
          <w:rFonts w:ascii="Calibri" w:hAnsi="Calibri"/>
          <w:sz w:val="24"/>
          <w:szCs w:val="24"/>
        </w:rPr>
        <w:t>, η Αμμόχωστος (2.</w:t>
      </w:r>
      <w:r w:rsidR="0010268B" w:rsidRPr="0010268B">
        <w:rPr>
          <w:rFonts w:ascii="Calibri" w:hAnsi="Calibri"/>
          <w:sz w:val="24"/>
          <w:szCs w:val="24"/>
        </w:rPr>
        <w:t>973</w:t>
      </w:r>
      <w:r w:rsidR="00E45C8D">
        <w:rPr>
          <w:rFonts w:ascii="Calibri" w:hAnsi="Calibri"/>
          <w:sz w:val="24"/>
          <w:szCs w:val="24"/>
        </w:rPr>
        <w:t xml:space="preserve"> άτομα ή 1</w:t>
      </w:r>
      <w:r w:rsidR="0010268B" w:rsidRPr="0010268B">
        <w:rPr>
          <w:rFonts w:ascii="Calibri" w:hAnsi="Calibri"/>
          <w:sz w:val="24"/>
          <w:szCs w:val="24"/>
        </w:rPr>
        <w:t>3</w:t>
      </w:r>
      <w:r w:rsidR="00E45C8D">
        <w:rPr>
          <w:rFonts w:ascii="Calibri" w:hAnsi="Calibri"/>
          <w:sz w:val="24"/>
          <w:szCs w:val="24"/>
        </w:rPr>
        <w:t>%)</w:t>
      </w:r>
      <w:r w:rsidR="0010268B" w:rsidRPr="0010268B">
        <w:rPr>
          <w:rFonts w:ascii="Calibri" w:hAnsi="Calibri"/>
          <w:sz w:val="24"/>
          <w:szCs w:val="24"/>
        </w:rPr>
        <w:t xml:space="preserve"> </w:t>
      </w:r>
      <w:r w:rsidR="0010268B">
        <w:rPr>
          <w:rFonts w:ascii="Calibri" w:hAnsi="Calibri"/>
          <w:sz w:val="24"/>
          <w:szCs w:val="24"/>
        </w:rPr>
        <w:t>και τέλος</w:t>
      </w:r>
      <w:r w:rsidR="0010268B" w:rsidRPr="0010268B">
        <w:rPr>
          <w:rFonts w:ascii="Calibri" w:hAnsi="Calibri"/>
          <w:sz w:val="24"/>
          <w:szCs w:val="24"/>
        </w:rPr>
        <w:t xml:space="preserve"> </w:t>
      </w:r>
      <w:r w:rsidR="0010268B">
        <w:rPr>
          <w:rFonts w:ascii="Calibri" w:hAnsi="Calibri"/>
          <w:sz w:val="24"/>
          <w:szCs w:val="24"/>
        </w:rPr>
        <w:t>η Πάφος (</w:t>
      </w:r>
      <w:r w:rsidR="0010268B" w:rsidRPr="0010268B">
        <w:rPr>
          <w:rFonts w:ascii="Calibri" w:hAnsi="Calibri"/>
          <w:sz w:val="24"/>
          <w:szCs w:val="24"/>
        </w:rPr>
        <w:t>2.832</w:t>
      </w:r>
      <w:r w:rsidR="0010268B">
        <w:rPr>
          <w:rFonts w:ascii="Calibri" w:hAnsi="Calibri"/>
          <w:sz w:val="24"/>
          <w:szCs w:val="24"/>
        </w:rPr>
        <w:t xml:space="preserve"> άτομα ή 1</w:t>
      </w:r>
      <w:r w:rsidR="0010268B" w:rsidRPr="0010268B">
        <w:rPr>
          <w:rFonts w:ascii="Calibri" w:hAnsi="Calibri"/>
          <w:sz w:val="24"/>
          <w:szCs w:val="24"/>
        </w:rPr>
        <w:t>3</w:t>
      </w:r>
      <w:r w:rsidR="0010268B">
        <w:rPr>
          <w:rFonts w:ascii="Calibri" w:hAnsi="Calibri"/>
          <w:sz w:val="24"/>
          <w:szCs w:val="24"/>
        </w:rPr>
        <w:t>%)</w:t>
      </w:r>
      <w:r w:rsidR="00E45C8D">
        <w:rPr>
          <w:rFonts w:ascii="Calibri" w:hAnsi="Calibri"/>
          <w:sz w:val="24"/>
          <w:szCs w:val="24"/>
        </w:rPr>
        <w:t>.</w:t>
      </w:r>
    </w:p>
    <w:p w:rsidR="00F419DB" w:rsidRPr="00D47D52" w:rsidRDefault="004138E4" w:rsidP="00B92C8A">
      <w:pPr>
        <w:spacing w:after="240"/>
        <w:jc w:val="both"/>
        <w:rPr>
          <w:rFonts w:ascii="Calibri" w:hAnsi="Calibri"/>
          <w:sz w:val="16"/>
          <w:szCs w:val="16"/>
        </w:rPr>
      </w:pPr>
      <w:r>
        <w:rPr>
          <w:noProof/>
          <w:lang w:val="en-US"/>
        </w:rPr>
        <w:drawing>
          <wp:inline distT="0" distB="0" distL="0" distR="0" wp14:anchorId="55A75A57" wp14:editId="6F5A58F0">
            <wp:extent cx="5372100" cy="32194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0378" w:rsidRDefault="007A7236" w:rsidP="00B92C8A">
      <w:pPr>
        <w:spacing w:after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Κατά ηλικία, οι περισσότεροι εγγεγραμμένοι άνεργοι συγκεντρώνονταν στις ηλικίες 30-39 χρονών </w:t>
      </w:r>
      <w:r w:rsidR="00090378">
        <w:rPr>
          <w:rFonts w:ascii="Calibri" w:hAnsi="Calibri"/>
          <w:sz w:val="24"/>
          <w:szCs w:val="24"/>
        </w:rPr>
        <w:t>(</w:t>
      </w:r>
      <w:r w:rsidR="0010268B" w:rsidRPr="0010268B">
        <w:rPr>
          <w:rFonts w:ascii="Calibri" w:hAnsi="Calibri"/>
          <w:sz w:val="24"/>
          <w:szCs w:val="24"/>
        </w:rPr>
        <w:t>5.665</w:t>
      </w:r>
      <w:r w:rsidR="00090378">
        <w:rPr>
          <w:rFonts w:ascii="Calibri" w:hAnsi="Calibri"/>
          <w:sz w:val="24"/>
          <w:szCs w:val="24"/>
        </w:rPr>
        <w:t xml:space="preserve"> άτομα ή 2</w:t>
      </w:r>
      <w:r w:rsidR="0010268B" w:rsidRPr="0010268B">
        <w:rPr>
          <w:rFonts w:ascii="Calibri" w:hAnsi="Calibri"/>
          <w:sz w:val="24"/>
          <w:szCs w:val="24"/>
        </w:rPr>
        <w:t>5</w:t>
      </w:r>
      <w:r w:rsidR="00090378">
        <w:rPr>
          <w:rFonts w:ascii="Calibri" w:hAnsi="Calibri"/>
          <w:sz w:val="24"/>
          <w:szCs w:val="24"/>
        </w:rPr>
        <w:t xml:space="preserve">%) και ακολούθως </w:t>
      </w:r>
      <w:r w:rsidR="00FE1F62">
        <w:rPr>
          <w:rFonts w:ascii="Calibri" w:hAnsi="Calibri"/>
          <w:sz w:val="24"/>
          <w:szCs w:val="24"/>
        </w:rPr>
        <w:t>στις</w:t>
      </w:r>
      <w:r w:rsidR="00090378">
        <w:rPr>
          <w:rFonts w:ascii="Calibri" w:hAnsi="Calibri"/>
          <w:sz w:val="24"/>
          <w:szCs w:val="24"/>
        </w:rPr>
        <w:t xml:space="preserve"> ηλικίες 40-49 χρόνων (</w:t>
      </w:r>
      <w:r w:rsidR="0010268B" w:rsidRPr="0010268B">
        <w:rPr>
          <w:rFonts w:ascii="Calibri" w:hAnsi="Calibri"/>
          <w:sz w:val="24"/>
          <w:szCs w:val="24"/>
        </w:rPr>
        <w:t>4.747</w:t>
      </w:r>
      <w:r w:rsidR="00090378">
        <w:rPr>
          <w:rFonts w:ascii="Calibri" w:hAnsi="Calibri"/>
          <w:sz w:val="24"/>
          <w:szCs w:val="24"/>
        </w:rPr>
        <w:t xml:space="preserve"> άτομα ή 21%), </w:t>
      </w:r>
      <w:r w:rsidR="00FE1F62">
        <w:rPr>
          <w:rFonts w:ascii="Calibri" w:hAnsi="Calibri"/>
          <w:sz w:val="24"/>
          <w:szCs w:val="24"/>
        </w:rPr>
        <w:t>στις</w:t>
      </w:r>
      <w:r w:rsidR="007C6ACD">
        <w:rPr>
          <w:rFonts w:ascii="Calibri" w:hAnsi="Calibri"/>
          <w:sz w:val="24"/>
          <w:szCs w:val="24"/>
        </w:rPr>
        <w:t xml:space="preserve"> ηλικίες </w:t>
      </w:r>
      <w:r w:rsidR="00090378">
        <w:rPr>
          <w:rFonts w:ascii="Calibri" w:hAnsi="Calibri"/>
          <w:sz w:val="24"/>
          <w:szCs w:val="24"/>
        </w:rPr>
        <w:t>50 -59  χρόνων (4.</w:t>
      </w:r>
      <w:r w:rsidR="0010268B" w:rsidRPr="0010268B">
        <w:rPr>
          <w:rFonts w:ascii="Calibri" w:hAnsi="Calibri"/>
          <w:sz w:val="24"/>
          <w:szCs w:val="24"/>
        </w:rPr>
        <w:t>28</w:t>
      </w:r>
      <w:r w:rsidR="0010268B">
        <w:rPr>
          <w:rFonts w:ascii="Calibri" w:hAnsi="Calibri"/>
          <w:sz w:val="24"/>
          <w:szCs w:val="24"/>
        </w:rPr>
        <w:t>0</w:t>
      </w:r>
      <w:r w:rsidR="00090378">
        <w:rPr>
          <w:rFonts w:ascii="Calibri" w:hAnsi="Calibri"/>
          <w:sz w:val="24"/>
          <w:szCs w:val="24"/>
        </w:rPr>
        <w:t xml:space="preserve"> άτομα ή 19%), </w:t>
      </w:r>
      <w:r w:rsidR="00FE1F62">
        <w:rPr>
          <w:rFonts w:ascii="Calibri" w:hAnsi="Calibri"/>
          <w:sz w:val="24"/>
          <w:szCs w:val="24"/>
        </w:rPr>
        <w:t>στις</w:t>
      </w:r>
      <w:r w:rsidR="007C6ACD">
        <w:rPr>
          <w:rFonts w:ascii="Calibri" w:hAnsi="Calibri"/>
          <w:sz w:val="24"/>
          <w:szCs w:val="24"/>
        </w:rPr>
        <w:t xml:space="preserve"> ηλικίες </w:t>
      </w:r>
      <w:r w:rsidR="00090378">
        <w:rPr>
          <w:rFonts w:ascii="Calibri" w:hAnsi="Calibri"/>
          <w:sz w:val="24"/>
          <w:szCs w:val="24"/>
        </w:rPr>
        <w:t>25-29 χρόνων (</w:t>
      </w:r>
      <w:r w:rsidR="0010268B" w:rsidRPr="0010268B">
        <w:rPr>
          <w:rFonts w:ascii="Calibri" w:hAnsi="Calibri"/>
          <w:sz w:val="24"/>
          <w:szCs w:val="24"/>
        </w:rPr>
        <w:t>3.765</w:t>
      </w:r>
      <w:r w:rsidR="00090378">
        <w:rPr>
          <w:rFonts w:ascii="Calibri" w:hAnsi="Calibri"/>
          <w:sz w:val="24"/>
          <w:szCs w:val="24"/>
        </w:rPr>
        <w:t xml:space="preserve"> άτομα ή 17%), πάνω από 60 χρονών (1.</w:t>
      </w:r>
      <w:r w:rsidR="0010268B" w:rsidRPr="0010268B">
        <w:rPr>
          <w:rFonts w:ascii="Calibri" w:hAnsi="Calibri"/>
          <w:sz w:val="24"/>
          <w:szCs w:val="24"/>
        </w:rPr>
        <w:t>759</w:t>
      </w:r>
      <w:r w:rsidR="00090378">
        <w:rPr>
          <w:rFonts w:ascii="Calibri" w:hAnsi="Calibri"/>
          <w:sz w:val="24"/>
          <w:szCs w:val="24"/>
        </w:rPr>
        <w:t xml:space="preserve"> άτομα ή </w:t>
      </w:r>
      <w:r w:rsidR="0010268B" w:rsidRPr="0010268B">
        <w:rPr>
          <w:rFonts w:ascii="Calibri" w:hAnsi="Calibri"/>
          <w:sz w:val="24"/>
          <w:szCs w:val="24"/>
        </w:rPr>
        <w:t>8</w:t>
      </w:r>
      <w:r w:rsidR="00090378">
        <w:rPr>
          <w:rFonts w:ascii="Calibri" w:hAnsi="Calibri"/>
          <w:sz w:val="24"/>
          <w:szCs w:val="24"/>
        </w:rPr>
        <w:t>%)</w:t>
      </w:r>
      <w:r w:rsidR="0010268B" w:rsidRPr="0010268B">
        <w:rPr>
          <w:rFonts w:ascii="Calibri" w:hAnsi="Calibri"/>
          <w:sz w:val="24"/>
          <w:szCs w:val="24"/>
        </w:rPr>
        <w:t xml:space="preserve"> </w:t>
      </w:r>
      <w:r w:rsidR="0010268B">
        <w:rPr>
          <w:rFonts w:ascii="Calibri" w:hAnsi="Calibri"/>
          <w:sz w:val="24"/>
          <w:szCs w:val="24"/>
        </w:rPr>
        <w:t>και</w:t>
      </w:r>
      <w:r w:rsidR="0010268B" w:rsidRPr="0010268B">
        <w:rPr>
          <w:rFonts w:ascii="Calibri" w:hAnsi="Calibri"/>
          <w:sz w:val="24"/>
          <w:szCs w:val="24"/>
        </w:rPr>
        <w:t xml:space="preserve"> </w:t>
      </w:r>
      <w:r w:rsidR="0010268B">
        <w:rPr>
          <w:rFonts w:ascii="Calibri" w:hAnsi="Calibri"/>
          <w:sz w:val="24"/>
          <w:szCs w:val="24"/>
        </w:rPr>
        <w:t>στις ηλικίες 15-24 χρόνων (</w:t>
      </w:r>
      <w:r w:rsidR="0010268B" w:rsidRPr="0010268B">
        <w:rPr>
          <w:rFonts w:ascii="Calibri" w:hAnsi="Calibri"/>
          <w:sz w:val="24"/>
          <w:szCs w:val="24"/>
        </w:rPr>
        <w:t>1.696</w:t>
      </w:r>
      <w:r w:rsidR="0010268B">
        <w:rPr>
          <w:rFonts w:ascii="Calibri" w:hAnsi="Calibri"/>
          <w:sz w:val="24"/>
          <w:szCs w:val="24"/>
        </w:rPr>
        <w:t xml:space="preserve"> άτομα ή </w:t>
      </w:r>
      <w:r w:rsidR="0010268B" w:rsidRPr="0010268B">
        <w:rPr>
          <w:rFonts w:ascii="Calibri" w:hAnsi="Calibri"/>
          <w:sz w:val="24"/>
          <w:szCs w:val="24"/>
        </w:rPr>
        <w:t>8</w:t>
      </w:r>
      <w:r w:rsidR="0010268B">
        <w:rPr>
          <w:rFonts w:ascii="Calibri" w:hAnsi="Calibri"/>
          <w:sz w:val="24"/>
          <w:szCs w:val="24"/>
        </w:rPr>
        <w:t>%)</w:t>
      </w:r>
      <w:r w:rsidR="00090378">
        <w:rPr>
          <w:rFonts w:ascii="Calibri" w:hAnsi="Calibri"/>
          <w:sz w:val="24"/>
          <w:szCs w:val="24"/>
        </w:rPr>
        <w:t>.</w:t>
      </w:r>
    </w:p>
    <w:p w:rsidR="00090378" w:rsidRPr="00E15797" w:rsidRDefault="00090378" w:rsidP="00B92C8A">
      <w:pPr>
        <w:spacing w:after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Κατά μορφωτικό επίπεδο, </w:t>
      </w:r>
      <w:r w:rsidR="001C40FA">
        <w:rPr>
          <w:rFonts w:ascii="Calibri" w:hAnsi="Calibri"/>
          <w:sz w:val="24"/>
          <w:szCs w:val="24"/>
        </w:rPr>
        <w:t>οι μισοί από τους εγγεγραμμένους ανέργους ήταν απόφοιτοι δευτεροβάθμιας γενικής ή τεχνικής εκπαίδευσης (</w:t>
      </w:r>
      <w:r w:rsidR="0010268B">
        <w:rPr>
          <w:rFonts w:ascii="Calibri" w:hAnsi="Calibri"/>
          <w:sz w:val="24"/>
          <w:szCs w:val="24"/>
        </w:rPr>
        <w:t>10.818</w:t>
      </w:r>
      <w:r w:rsidR="001C40FA">
        <w:rPr>
          <w:rFonts w:ascii="Calibri" w:hAnsi="Calibri"/>
          <w:sz w:val="24"/>
          <w:szCs w:val="24"/>
        </w:rPr>
        <w:t xml:space="preserve"> άτομα ή 49%), ακολουθούν οι απόφοιτοι ανώτερης εκπαίδευσης (</w:t>
      </w:r>
      <w:r w:rsidR="0010268B">
        <w:rPr>
          <w:rFonts w:ascii="Calibri" w:hAnsi="Calibri"/>
          <w:sz w:val="24"/>
          <w:szCs w:val="24"/>
        </w:rPr>
        <w:t>6.790</w:t>
      </w:r>
      <w:r w:rsidR="001C40FA">
        <w:rPr>
          <w:rFonts w:ascii="Calibri" w:hAnsi="Calibri"/>
          <w:sz w:val="24"/>
          <w:szCs w:val="24"/>
        </w:rPr>
        <w:t xml:space="preserve"> άτομα ή </w:t>
      </w:r>
      <w:r w:rsidR="0010268B">
        <w:rPr>
          <w:rFonts w:ascii="Calibri" w:hAnsi="Calibri"/>
          <w:sz w:val="24"/>
          <w:szCs w:val="24"/>
        </w:rPr>
        <w:t>30</w:t>
      </w:r>
      <w:r w:rsidR="001C40FA">
        <w:rPr>
          <w:rFonts w:ascii="Calibri" w:hAnsi="Calibri"/>
          <w:sz w:val="24"/>
          <w:szCs w:val="24"/>
        </w:rPr>
        <w:t>%) και οι απόφοιτοι μέχρι πρωτοβάθμια εκπαίδευση (</w:t>
      </w:r>
      <w:r w:rsidR="0010268B">
        <w:rPr>
          <w:rFonts w:ascii="Calibri" w:hAnsi="Calibri"/>
          <w:sz w:val="24"/>
          <w:szCs w:val="24"/>
        </w:rPr>
        <w:t>4.712</w:t>
      </w:r>
      <w:r w:rsidR="001C40FA">
        <w:rPr>
          <w:rFonts w:ascii="Calibri" w:hAnsi="Calibri"/>
          <w:sz w:val="24"/>
          <w:szCs w:val="24"/>
        </w:rPr>
        <w:t xml:space="preserve"> άτομα ή 21%).</w:t>
      </w:r>
    </w:p>
    <w:p w:rsidR="008343BB" w:rsidRDefault="008343BB" w:rsidP="008343BB">
      <w:pPr>
        <w:spacing w:after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Η μακροχρόνια ανεργία (12 μήνες και άνω) έφτασε τα </w:t>
      </w:r>
      <w:r w:rsidR="00732205">
        <w:rPr>
          <w:rFonts w:ascii="Calibri" w:hAnsi="Calibri"/>
          <w:sz w:val="24"/>
          <w:szCs w:val="24"/>
        </w:rPr>
        <w:t>4.364</w:t>
      </w:r>
      <w:r>
        <w:rPr>
          <w:rFonts w:ascii="Calibri" w:hAnsi="Calibri"/>
          <w:sz w:val="24"/>
          <w:szCs w:val="24"/>
        </w:rPr>
        <w:t xml:space="preserve"> άτομα ή 2</w:t>
      </w:r>
      <w:r w:rsidR="00732205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% (</w:t>
      </w:r>
      <w:r w:rsidR="00732205">
        <w:rPr>
          <w:rFonts w:ascii="Calibri" w:hAnsi="Calibri"/>
          <w:sz w:val="24"/>
          <w:szCs w:val="24"/>
        </w:rPr>
        <w:t>ετήσια</w:t>
      </w:r>
      <w:r>
        <w:rPr>
          <w:rFonts w:ascii="Calibri" w:hAnsi="Calibri"/>
          <w:sz w:val="24"/>
          <w:szCs w:val="24"/>
        </w:rPr>
        <w:t xml:space="preserve"> μείωση </w:t>
      </w:r>
      <w:r w:rsidR="00732205" w:rsidRPr="00732205">
        <w:rPr>
          <w:rFonts w:ascii="Calibri" w:hAnsi="Calibri"/>
          <w:sz w:val="24"/>
          <w:szCs w:val="24"/>
        </w:rPr>
        <w:t>2.912</w:t>
      </w:r>
      <w:r>
        <w:rPr>
          <w:rFonts w:ascii="Calibri" w:hAnsi="Calibri"/>
          <w:sz w:val="24"/>
          <w:szCs w:val="24"/>
        </w:rPr>
        <w:t xml:space="preserve"> ατόμων ή </w:t>
      </w:r>
      <w:r w:rsidR="00732205" w:rsidRPr="00732205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0%</w:t>
      </w:r>
      <w:r w:rsidRPr="0009037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σε σχέση με το 201</w:t>
      </w:r>
      <w:r w:rsidR="00732205" w:rsidRPr="00732205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). Η ανεργία 6 μέχρι 12 μηνών έφτασε τα 3.</w:t>
      </w:r>
      <w:r w:rsidR="007A5FD5" w:rsidRPr="007A5FD5">
        <w:rPr>
          <w:rFonts w:ascii="Calibri" w:hAnsi="Calibri"/>
          <w:sz w:val="24"/>
          <w:szCs w:val="24"/>
        </w:rPr>
        <w:t>185</w:t>
      </w:r>
      <w:r>
        <w:rPr>
          <w:rFonts w:ascii="Calibri" w:hAnsi="Calibri"/>
          <w:sz w:val="24"/>
          <w:szCs w:val="24"/>
        </w:rPr>
        <w:t xml:space="preserve"> άτομα ή 1</w:t>
      </w:r>
      <w:r w:rsidR="007A5FD5" w:rsidRPr="007A5FD5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%. Η ανεργία κάτω των 3 μηνών έφτασε τα </w:t>
      </w:r>
      <w:r w:rsidR="007A5FD5" w:rsidRPr="007A5FD5">
        <w:rPr>
          <w:rFonts w:ascii="Calibri" w:hAnsi="Calibri"/>
          <w:sz w:val="24"/>
          <w:szCs w:val="24"/>
        </w:rPr>
        <w:t>9.</w:t>
      </w:r>
      <w:r w:rsidR="007A5FD5">
        <w:rPr>
          <w:rFonts w:ascii="Calibri" w:hAnsi="Calibri"/>
          <w:sz w:val="24"/>
          <w:szCs w:val="24"/>
          <w:lang w:val="en-US"/>
        </w:rPr>
        <w:t>852</w:t>
      </w:r>
      <w:r>
        <w:rPr>
          <w:rFonts w:ascii="Calibri" w:hAnsi="Calibri"/>
          <w:sz w:val="24"/>
          <w:szCs w:val="24"/>
        </w:rPr>
        <w:t xml:space="preserve"> άτομα ή 4</w:t>
      </w:r>
      <w:r w:rsidR="007A5FD5">
        <w:rPr>
          <w:rFonts w:ascii="Calibri" w:hAnsi="Calibri"/>
          <w:sz w:val="24"/>
          <w:szCs w:val="24"/>
          <w:lang w:val="en-US"/>
        </w:rPr>
        <w:t>4</w:t>
      </w:r>
      <w:r>
        <w:rPr>
          <w:rFonts w:ascii="Calibri" w:hAnsi="Calibri"/>
          <w:sz w:val="24"/>
          <w:szCs w:val="24"/>
        </w:rPr>
        <w:t>%.</w:t>
      </w:r>
    </w:p>
    <w:p w:rsidR="004138E4" w:rsidRDefault="004138E4" w:rsidP="008343BB">
      <w:pPr>
        <w:spacing w:after="240"/>
        <w:jc w:val="both"/>
        <w:rPr>
          <w:rFonts w:ascii="Calibri" w:hAnsi="Calibri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6391D4D" wp14:editId="65A45339">
            <wp:extent cx="5274310" cy="2945434"/>
            <wp:effectExtent l="0" t="0" r="21590" b="266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43BB" w:rsidRPr="007A5FD5" w:rsidRDefault="008343BB" w:rsidP="00B92C8A">
      <w:pPr>
        <w:spacing w:after="240"/>
        <w:jc w:val="both"/>
        <w:rPr>
          <w:rFonts w:ascii="Calibri" w:hAnsi="Calibri"/>
          <w:sz w:val="8"/>
          <w:szCs w:val="8"/>
        </w:rPr>
      </w:pPr>
    </w:p>
    <w:p w:rsidR="00E45C8D" w:rsidRDefault="00E45C8D" w:rsidP="00B92C8A">
      <w:pPr>
        <w:spacing w:after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Κατά οικονομική δραστηριότητα, ο μεγαλύτερος αριθμός εγγεγραμμένων ανέργων ήταν στον τομέα των ξενοδοχείων (5.</w:t>
      </w:r>
      <w:r w:rsidR="00F46A6B" w:rsidRPr="00F46A6B">
        <w:rPr>
          <w:rFonts w:ascii="Calibri" w:hAnsi="Calibri"/>
          <w:sz w:val="24"/>
          <w:szCs w:val="24"/>
        </w:rPr>
        <w:t>046</w:t>
      </w:r>
      <w:r>
        <w:rPr>
          <w:rFonts w:ascii="Calibri" w:hAnsi="Calibri"/>
          <w:sz w:val="24"/>
          <w:szCs w:val="24"/>
        </w:rPr>
        <w:t xml:space="preserve"> άτομα</w:t>
      </w:r>
      <w:r w:rsidR="00F46A6B" w:rsidRPr="00F46A6B">
        <w:rPr>
          <w:rFonts w:ascii="Calibri" w:hAnsi="Calibri"/>
          <w:sz w:val="24"/>
          <w:szCs w:val="24"/>
        </w:rPr>
        <w:t xml:space="preserve"> </w:t>
      </w:r>
      <w:r w:rsidR="00F46A6B">
        <w:rPr>
          <w:rFonts w:ascii="Calibri" w:hAnsi="Calibri"/>
          <w:sz w:val="24"/>
          <w:szCs w:val="24"/>
        </w:rPr>
        <w:t>ή 23%</w:t>
      </w:r>
      <w:r>
        <w:rPr>
          <w:rFonts w:ascii="Calibri" w:hAnsi="Calibri"/>
          <w:sz w:val="24"/>
          <w:szCs w:val="24"/>
        </w:rPr>
        <w:t xml:space="preserve">), ακολούθως ο </w:t>
      </w:r>
      <w:r w:rsidR="00537B5E">
        <w:rPr>
          <w:rFonts w:ascii="Calibri" w:hAnsi="Calibri"/>
          <w:sz w:val="24"/>
          <w:szCs w:val="24"/>
        </w:rPr>
        <w:t>τομέας</w:t>
      </w:r>
      <w:r>
        <w:rPr>
          <w:rFonts w:ascii="Calibri" w:hAnsi="Calibri"/>
          <w:sz w:val="24"/>
          <w:szCs w:val="24"/>
        </w:rPr>
        <w:t xml:space="preserve"> του εμπορίου (</w:t>
      </w:r>
      <w:r w:rsidR="00F46A6B">
        <w:rPr>
          <w:rFonts w:ascii="Calibri" w:hAnsi="Calibri"/>
          <w:sz w:val="24"/>
          <w:szCs w:val="24"/>
        </w:rPr>
        <w:t>3.993</w:t>
      </w:r>
      <w:r>
        <w:rPr>
          <w:rFonts w:ascii="Calibri" w:hAnsi="Calibri"/>
          <w:sz w:val="24"/>
          <w:szCs w:val="24"/>
        </w:rPr>
        <w:t xml:space="preserve"> άτομα</w:t>
      </w:r>
      <w:r w:rsidR="00F46A6B">
        <w:rPr>
          <w:rFonts w:ascii="Calibri" w:hAnsi="Calibri"/>
          <w:sz w:val="24"/>
          <w:szCs w:val="24"/>
        </w:rPr>
        <w:t xml:space="preserve"> ή 18%</w:t>
      </w:r>
      <w:r>
        <w:rPr>
          <w:rFonts w:ascii="Calibri" w:hAnsi="Calibri"/>
          <w:sz w:val="24"/>
          <w:szCs w:val="24"/>
        </w:rPr>
        <w:t>), οι υπηρεσίες (</w:t>
      </w:r>
      <w:r w:rsidR="00F46A6B">
        <w:rPr>
          <w:rFonts w:ascii="Calibri" w:hAnsi="Calibri"/>
          <w:sz w:val="24"/>
          <w:szCs w:val="24"/>
        </w:rPr>
        <w:t>3.661</w:t>
      </w:r>
      <w:r>
        <w:rPr>
          <w:rFonts w:ascii="Calibri" w:hAnsi="Calibri"/>
          <w:sz w:val="24"/>
          <w:szCs w:val="24"/>
        </w:rPr>
        <w:t xml:space="preserve"> άτομα</w:t>
      </w:r>
      <w:r w:rsidR="00F46A6B">
        <w:rPr>
          <w:rFonts w:ascii="Calibri" w:hAnsi="Calibri"/>
          <w:sz w:val="24"/>
          <w:szCs w:val="24"/>
        </w:rPr>
        <w:t xml:space="preserve"> ή 16%</w:t>
      </w:r>
      <w:r>
        <w:rPr>
          <w:rFonts w:ascii="Calibri" w:hAnsi="Calibri"/>
          <w:sz w:val="24"/>
          <w:szCs w:val="24"/>
        </w:rPr>
        <w:t xml:space="preserve">), </w:t>
      </w:r>
      <w:r w:rsidR="00F46A6B">
        <w:rPr>
          <w:rFonts w:ascii="Calibri" w:hAnsi="Calibri"/>
          <w:sz w:val="24"/>
          <w:szCs w:val="24"/>
        </w:rPr>
        <w:t>η μεταποίηση (1.498 άτομα ή 7%)</w:t>
      </w:r>
      <w:r w:rsidR="00F46A6B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η δημόσια διοίκηση (</w:t>
      </w:r>
      <w:r w:rsidR="00F46A6B">
        <w:rPr>
          <w:rFonts w:ascii="Calibri" w:hAnsi="Calibri"/>
          <w:sz w:val="24"/>
          <w:szCs w:val="24"/>
        </w:rPr>
        <w:t>1.448</w:t>
      </w:r>
      <w:r>
        <w:rPr>
          <w:rFonts w:ascii="Calibri" w:hAnsi="Calibri"/>
          <w:sz w:val="24"/>
          <w:szCs w:val="24"/>
        </w:rPr>
        <w:t xml:space="preserve"> άτομα</w:t>
      </w:r>
      <w:r w:rsidR="00F46A6B">
        <w:rPr>
          <w:rFonts w:ascii="Calibri" w:hAnsi="Calibri"/>
          <w:sz w:val="24"/>
          <w:szCs w:val="24"/>
        </w:rPr>
        <w:t xml:space="preserve"> ή 7%</w:t>
      </w:r>
      <w:r>
        <w:rPr>
          <w:rFonts w:ascii="Calibri" w:hAnsi="Calibri"/>
          <w:sz w:val="24"/>
          <w:szCs w:val="24"/>
        </w:rPr>
        <w:t>)</w:t>
      </w:r>
      <w:r w:rsidR="00F46A6B">
        <w:rPr>
          <w:rFonts w:ascii="Calibri" w:hAnsi="Calibri"/>
          <w:sz w:val="24"/>
          <w:szCs w:val="24"/>
        </w:rPr>
        <w:t xml:space="preserve"> και</w:t>
      </w:r>
      <w:r>
        <w:rPr>
          <w:rFonts w:ascii="Calibri" w:hAnsi="Calibri"/>
          <w:sz w:val="24"/>
          <w:szCs w:val="24"/>
        </w:rPr>
        <w:t xml:space="preserve"> οι κατασκευές (1.</w:t>
      </w:r>
      <w:r w:rsidR="00F46A6B">
        <w:rPr>
          <w:rFonts w:ascii="Calibri" w:hAnsi="Calibri"/>
          <w:sz w:val="24"/>
          <w:szCs w:val="24"/>
        </w:rPr>
        <w:t>436</w:t>
      </w:r>
      <w:r>
        <w:rPr>
          <w:rFonts w:ascii="Calibri" w:hAnsi="Calibri"/>
          <w:sz w:val="24"/>
          <w:szCs w:val="24"/>
        </w:rPr>
        <w:t xml:space="preserve"> άτομα</w:t>
      </w:r>
      <w:r w:rsidR="00F46A6B">
        <w:rPr>
          <w:rFonts w:ascii="Calibri" w:hAnsi="Calibri"/>
          <w:sz w:val="24"/>
          <w:szCs w:val="24"/>
        </w:rPr>
        <w:t xml:space="preserve"> ή 7%</w:t>
      </w:r>
      <w:r>
        <w:rPr>
          <w:rFonts w:ascii="Calibri" w:hAnsi="Calibri"/>
          <w:sz w:val="24"/>
          <w:szCs w:val="24"/>
        </w:rPr>
        <w:t>).</w:t>
      </w:r>
    </w:p>
    <w:p w:rsidR="00E45C8D" w:rsidRPr="0027016F" w:rsidRDefault="00B76ED8" w:rsidP="00B92C8A">
      <w:pPr>
        <w:spacing w:after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Τέλος, κ</w:t>
      </w:r>
      <w:r w:rsidR="00E45C8D">
        <w:rPr>
          <w:rFonts w:ascii="Calibri" w:hAnsi="Calibri"/>
          <w:sz w:val="24"/>
          <w:szCs w:val="24"/>
        </w:rPr>
        <w:t>ατά επαγγελματική κατηγορία, οι μεγαλύτερες συγκεντρώσεις εγγεγραμμένων ανέργων το 201</w:t>
      </w:r>
      <w:r w:rsidR="00A1774A">
        <w:rPr>
          <w:rFonts w:ascii="Calibri" w:hAnsi="Calibri"/>
          <w:sz w:val="24"/>
          <w:szCs w:val="24"/>
        </w:rPr>
        <w:t>9</w:t>
      </w:r>
      <w:r w:rsidR="00E45C8D">
        <w:rPr>
          <w:rFonts w:ascii="Calibri" w:hAnsi="Calibri"/>
          <w:sz w:val="24"/>
          <w:szCs w:val="24"/>
        </w:rPr>
        <w:t xml:space="preserve"> καταγράφηκαν στους υπαλλήλους υπηρεσιών και πωλητές (6.</w:t>
      </w:r>
      <w:r w:rsidR="00A1774A">
        <w:rPr>
          <w:rFonts w:ascii="Calibri" w:hAnsi="Calibri"/>
          <w:sz w:val="24"/>
          <w:szCs w:val="24"/>
        </w:rPr>
        <w:t>226</w:t>
      </w:r>
      <w:r w:rsidR="00E45C8D">
        <w:rPr>
          <w:rFonts w:ascii="Calibri" w:hAnsi="Calibri"/>
          <w:sz w:val="24"/>
          <w:szCs w:val="24"/>
        </w:rPr>
        <w:t xml:space="preserve"> άτομα</w:t>
      </w:r>
      <w:r w:rsidR="00A1774A">
        <w:rPr>
          <w:rFonts w:ascii="Calibri" w:hAnsi="Calibri"/>
          <w:sz w:val="24"/>
          <w:szCs w:val="24"/>
        </w:rPr>
        <w:t xml:space="preserve"> ή 28%</w:t>
      </w:r>
      <w:r w:rsidR="00E45C8D">
        <w:rPr>
          <w:rFonts w:ascii="Calibri" w:hAnsi="Calibri"/>
          <w:sz w:val="24"/>
          <w:szCs w:val="24"/>
        </w:rPr>
        <w:t>), στους ανειδίκευτους εργάτες, χειρωνάκτες και μικροεπαγγελματίες (</w:t>
      </w:r>
      <w:r w:rsidR="00A1774A">
        <w:rPr>
          <w:rFonts w:ascii="Calibri" w:hAnsi="Calibri"/>
          <w:sz w:val="24"/>
          <w:szCs w:val="24"/>
        </w:rPr>
        <w:t>4.785</w:t>
      </w:r>
      <w:r w:rsidR="00E45C8D">
        <w:rPr>
          <w:rFonts w:ascii="Calibri" w:hAnsi="Calibri"/>
          <w:sz w:val="24"/>
          <w:szCs w:val="24"/>
        </w:rPr>
        <w:t xml:space="preserve"> άτομα</w:t>
      </w:r>
      <w:r w:rsidR="00A1774A">
        <w:rPr>
          <w:rFonts w:ascii="Calibri" w:hAnsi="Calibri"/>
          <w:sz w:val="24"/>
          <w:szCs w:val="24"/>
        </w:rPr>
        <w:t xml:space="preserve"> ή 21%</w:t>
      </w:r>
      <w:r w:rsidR="00E45C8D">
        <w:rPr>
          <w:rFonts w:ascii="Calibri" w:hAnsi="Calibri"/>
          <w:sz w:val="24"/>
          <w:szCs w:val="24"/>
        </w:rPr>
        <w:t xml:space="preserve">), </w:t>
      </w:r>
      <w:r w:rsidR="00AC2823">
        <w:rPr>
          <w:rFonts w:ascii="Calibri" w:hAnsi="Calibri"/>
          <w:sz w:val="24"/>
          <w:szCs w:val="24"/>
        </w:rPr>
        <w:t>στους υπαλλήλους γραφείου (</w:t>
      </w:r>
      <w:r w:rsidR="00A1774A">
        <w:rPr>
          <w:rFonts w:ascii="Calibri" w:hAnsi="Calibri"/>
          <w:sz w:val="24"/>
          <w:szCs w:val="24"/>
        </w:rPr>
        <w:t>3.667</w:t>
      </w:r>
      <w:r w:rsidR="00AC2823">
        <w:rPr>
          <w:rFonts w:ascii="Calibri" w:hAnsi="Calibri"/>
          <w:sz w:val="24"/>
          <w:szCs w:val="24"/>
        </w:rPr>
        <w:t xml:space="preserve"> άτομα</w:t>
      </w:r>
      <w:r w:rsidR="00A1774A">
        <w:rPr>
          <w:rFonts w:ascii="Calibri" w:hAnsi="Calibri"/>
          <w:sz w:val="24"/>
          <w:szCs w:val="24"/>
        </w:rPr>
        <w:t xml:space="preserve"> ή 17%), στους επαγγελματίες (2.223 άτομα ή 10%) και στους νεοεισερχόμενους (1.989 </w:t>
      </w:r>
      <w:r w:rsidR="00AC2823">
        <w:rPr>
          <w:rFonts w:ascii="Calibri" w:hAnsi="Calibri"/>
          <w:sz w:val="24"/>
          <w:szCs w:val="24"/>
        </w:rPr>
        <w:t>άτομα</w:t>
      </w:r>
      <w:r w:rsidR="00A1774A">
        <w:rPr>
          <w:rFonts w:ascii="Calibri" w:hAnsi="Calibri"/>
          <w:sz w:val="24"/>
          <w:szCs w:val="24"/>
        </w:rPr>
        <w:t xml:space="preserve"> ή 9%</w:t>
      </w:r>
      <w:r w:rsidR="00AC2823">
        <w:rPr>
          <w:rFonts w:ascii="Calibri" w:hAnsi="Calibri"/>
          <w:sz w:val="24"/>
          <w:szCs w:val="24"/>
        </w:rPr>
        <w:t>).</w:t>
      </w:r>
    </w:p>
    <w:p w:rsidR="00583829" w:rsidRPr="0027016F" w:rsidRDefault="00583829" w:rsidP="00311B33">
      <w:pPr>
        <w:spacing w:after="240"/>
        <w:jc w:val="both"/>
        <w:rPr>
          <w:rFonts w:ascii="Calibri" w:hAnsi="Calibri"/>
          <w:sz w:val="24"/>
          <w:szCs w:val="24"/>
        </w:rPr>
      </w:pPr>
    </w:p>
    <w:p w:rsidR="001D3983" w:rsidRDefault="001D398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7C6ACD" w:rsidRPr="00444484" w:rsidRDefault="00444484" w:rsidP="007C6ACD">
      <w:pPr>
        <w:pStyle w:val="ListParagraph"/>
        <w:numPr>
          <w:ilvl w:val="0"/>
          <w:numId w:val="5"/>
        </w:numPr>
        <w:rPr>
          <w:rFonts w:asciiTheme="minorHAnsi" w:eastAsia="Calibri" w:hAnsiTheme="minorHAnsi" w:cs="Arial"/>
          <w:sz w:val="26"/>
          <w:szCs w:val="26"/>
        </w:rPr>
      </w:pPr>
      <w:r>
        <w:rPr>
          <w:rFonts w:asciiTheme="minorHAnsi" w:eastAsia="Calibri" w:hAnsiTheme="minorHAnsi" w:cs="Arial"/>
          <w:sz w:val="26"/>
          <w:szCs w:val="26"/>
        </w:rPr>
        <w:lastRenderedPageBreak/>
        <w:t xml:space="preserve">Θέσεις </w:t>
      </w:r>
      <w:r>
        <w:rPr>
          <w:rFonts w:asciiTheme="minorHAnsi" w:eastAsia="Calibri" w:hAnsiTheme="minorHAnsi" w:cs="Arial"/>
          <w:sz w:val="26"/>
          <w:szCs w:val="26"/>
          <w:lang w:val="el-GR"/>
        </w:rPr>
        <w:t>Ε</w:t>
      </w:r>
      <w:proofErr w:type="spellStart"/>
      <w:r w:rsidR="007C6ACD" w:rsidRPr="00D32BBF">
        <w:rPr>
          <w:rFonts w:asciiTheme="minorHAnsi" w:eastAsia="Calibri" w:hAnsiTheme="minorHAnsi" w:cs="Arial"/>
          <w:sz w:val="26"/>
          <w:szCs w:val="26"/>
        </w:rPr>
        <w:t>ργ</w:t>
      </w:r>
      <w:proofErr w:type="spellEnd"/>
      <w:r w:rsidR="007C6ACD" w:rsidRPr="00D32BBF">
        <w:rPr>
          <w:rFonts w:asciiTheme="minorHAnsi" w:eastAsia="Calibri" w:hAnsiTheme="minorHAnsi" w:cs="Arial"/>
          <w:sz w:val="26"/>
          <w:szCs w:val="26"/>
        </w:rPr>
        <w:t>ασίας</w:t>
      </w:r>
    </w:p>
    <w:p w:rsidR="00444484" w:rsidRPr="00D32BBF" w:rsidRDefault="00444484" w:rsidP="00444484">
      <w:pPr>
        <w:pStyle w:val="ListParagraph"/>
        <w:rPr>
          <w:rFonts w:asciiTheme="minorHAnsi" w:eastAsia="Calibri" w:hAnsiTheme="minorHAnsi" w:cs="Arial"/>
          <w:sz w:val="26"/>
          <w:szCs w:val="26"/>
        </w:rPr>
      </w:pPr>
    </w:p>
    <w:p w:rsidR="0054157C" w:rsidRDefault="007C6ACD" w:rsidP="0054157C">
      <w:pPr>
        <w:pStyle w:val="ListParagraph"/>
        <w:numPr>
          <w:ilvl w:val="0"/>
          <w:numId w:val="3"/>
        </w:numPr>
        <w:spacing w:line="276" w:lineRule="auto"/>
        <w:ind w:left="709" w:hanging="283"/>
        <w:rPr>
          <w:rFonts w:asciiTheme="minorHAnsi" w:eastAsia="Calibri" w:hAnsiTheme="minorHAnsi" w:cs="Arial"/>
          <w:sz w:val="26"/>
          <w:szCs w:val="26"/>
          <w:lang w:val="el-GR"/>
        </w:rPr>
      </w:pPr>
      <w:r w:rsidRPr="009B7BBA">
        <w:rPr>
          <w:rFonts w:asciiTheme="minorHAnsi" w:eastAsia="Calibri" w:hAnsiTheme="minorHAnsi" w:cs="Arial"/>
          <w:sz w:val="26"/>
          <w:szCs w:val="26"/>
          <w:lang w:val="el-GR"/>
        </w:rPr>
        <w:t>Κοινοποιηθείσες</w:t>
      </w:r>
      <w:r w:rsidR="00525013">
        <w:rPr>
          <w:rFonts w:asciiTheme="minorHAnsi" w:eastAsia="Calibri" w:hAnsiTheme="minorHAnsi" w:cs="Arial"/>
          <w:sz w:val="26"/>
          <w:szCs w:val="26"/>
          <w:lang w:val="el-GR"/>
        </w:rPr>
        <w:t xml:space="preserve"> Θέσεις Εργασίας</w:t>
      </w:r>
    </w:p>
    <w:p w:rsidR="0054157C" w:rsidRPr="00525013" w:rsidRDefault="0054157C" w:rsidP="0054157C">
      <w:pPr>
        <w:pStyle w:val="ListParagraph"/>
        <w:spacing w:line="276" w:lineRule="auto"/>
        <w:ind w:left="709"/>
        <w:rPr>
          <w:rFonts w:asciiTheme="minorHAnsi" w:eastAsia="Calibri" w:hAnsiTheme="minorHAnsi" w:cs="Arial"/>
          <w:lang w:val="el-GR"/>
        </w:rPr>
      </w:pPr>
    </w:p>
    <w:p w:rsidR="001C7029" w:rsidRDefault="001C7029" w:rsidP="00306ADA">
      <w:pPr>
        <w:ind w:right="-199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Οι κοινοποιηθείσες θέσεις στα επαρχιακά και τοπικά γραφεία εργασίας αριθμούσαν </w:t>
      </w:r>
      <w:r w:rsidR="00A133EC">
        <w:rPr>
          <w:rFonts w:eastAsia="Calibri" w:cs="Arial"/>
          <w:sz w:val="24"/>
          <w:szCs w:val="24"/>
        </w:rPr>
        <w:t xml:space="preserve">στις </w:t>
      </w:r>
      <w:r w:rsidRPr="001C7029">
        <w:rPr>
          <w:rFonts w:eastAsia="Calibri" w:cs="Arial"/>
          <w:sz w:val="24"/>
          <w:szCs w:val="24"/>
          <w:u w:val="single"/>
        </w:rPr>
        <w:t>2</w:t>
      </w:r>
      <w:r w:rsidR="00A133EC">
        <w:rPr>
          <w:rFonts w:eastAsia="Calibri" w:cs="Arial"/>
          <w:sz w:val="24"/>
          <w:szCs w:val="24"/>
          <w:u w:val="single"/>
        </w:rPr>
        <w:t>4.202</w:t>
      </w:r>
      <w:r w:rsidRPr="001C7029">
        <w:rPr>
          <w:rFonts w:eastAsia="Calibri" w:cs="Arial"/>
          <w:sz w:val="24"/>
          <w:szCs w:val="24"/>
          <w:u w:val="single"/>
        </w:rPr>
        <w:t xml:space="preserve"> χιλιάδες το 201</w:t>
      </w:r>
      <w:r w:rsidR="00A133EC">
        <w:rPr>
          <w:rFonts w:eastAsia="Calibri" w:cs="Arial"/>
          <w:sz w:val="24"/>
          <w:szCs w:val="24"/>
          <w:u w:val="single"/>
        </w:rPr>
        <w:t>9</w:t>
      </w:r>
      <w:r>
        <w:rPr>
          <w:rFonts w:eastAsia="Calibri" w:cs="Arial"/>
          <w:sz w:val="24"/>
          <w:szCs w:val="24"/>
        </w:rPr>
        <w:t>. Ο αντίστοιχος αριθμός το 201</w:t>
      </w:r>
      <w:r w:rsidR="00A133EC">
        <w:rPr>
          <w:rFonts w:eastAsia="Calibri" w:cs="Arial"/>
          <w:sz w:val="24"/>
          <w:szCs w:val="24"/>
        </w:rPr>
        <w:t>8</w:t>
      </w:r>
      <w:r>
        <w:rPr>
          <w:rFonts w:eastAsia="Calibri" w:cs="Arial"/>
          <w:sz w:val="24"/>
          <w:szCs w:val="24"/>
        </w:rPr>
        <w:t xml:space="preserve"> ήταν </w:t>
      </w:r>
      <w:r w:rsidR="00A133EC" w:rsidRPr="00A133EC">
        <w:rPr>
          <w:rFonts w:eastAsia="Calibri" w:cs="Arial"/>
          <w:sz w:val="24"/>
          <w:szCs w:val="24"/>
        </w:rPr>
        <w:t>23.457</w:t>
      </w:r>
      <w:r w:rsidR="00306ADA">
        <w:rPr>
          <w:rFonts w:eastAsia="Calibri" w:cs="Arial"/>
          <w:sz w:val="24"/>
          <w:szCs w:val="24"/>
        </w:rPr>
        <w:t xml:space="preserve"> κοινοποιηθείσες θέσεις</w:t>
      </w:r>
      <w:r>
        <w:rPr>
          <w:rFonts w:eastAsia="Calibri" w:cs="Arial"/>
          <w:sz w:val="24"/>
          <w:szCs w:val="24"/>
        </w:rPr>
        <w:t>, αυξήθηκαν δηλαδή το 201</w:t>
      </w:r>
      <w:r w:rsidR="00A133EC" w:rsidRPr="00A133EC">
        <w:rPr>
          <w:rFonts w:eastAsia="Calibri" w:cs="Arial"/>
          <w:sz w:val="24"/>
          <w:szCs w:val="24"/>
        </w:rPr>
        <w:t>9</w:t>
      </w:r>
      <w:r>
        <w:rPr>
          <w:rFonts w:eastAsia="Calibri" w:cs="Arial"/>
          <w:sz w:val="24"/>
          <w:szCs w:val="24"/>
        </w:rPr>
        <w:t xml:space="preserve"> κατά </w:t>
      </w:r>
      <w:r w:rsidR="00A133EC" w:rsidRPr="00A133EC">
        <w:rPr>
          <w:rFonts w:eastAsia="Calibri" w:cs="Arial"/>
          <w:sz w:val="24"/>
          <w:szCs w:val="24"/>
        </w:rPr>
        <w:t>745</w:t>
      </w:r>
      <w:r w:rsidR="000F3A23">
        <w:rPr>
          <w:rFonts w:eastAsia="Calibri" w:cs="Arial"/>
          <w:sz w:val="24"/>
          <w:szCs w:val="24"/>
        </w:rPr>
        <w:t xml:space="preserve"> θέσεις</w:t>
      </w:r>
      <w:r>
        <w:rPr>
          <w:rFonts w:eastAsia="Calibri" w:cs="Arial"/>
          <w:sz w:val="24"/>
          <w:szCs w:val="24"/>
        </w:rPr>
        <w:t xml:space="preserve"> ή </w:t>
      </w:r>
      <w:r w:rsidR="00A133EC" w:rsidRPr="00A133EC">
        <w:rPr>
          <w:rFonts w:eastAsia="Calibri" w:cs="Arial"/>
          <w:sz w:val="24"/>
          <w:szCs w:val="24"/>
        </w:rPr>
        <w:t>3,2</w:t>
      </w:r>
      <w:r>
        <w:rPr>
          <w:rFonts w:eastAsia="Calibri" w:cs="Arial"/>
          <w:sz w:val="24"/>
          <w:szCs w:val="24"/>
        </w:rPr>
        <w:t>%.</w:t>
      </w:r>
    </w:p>
    <w:p w:rsidR="001C7029" w:rsidRDefault="001C7029" w:rsidP="00306ADA">
      <w:pPr>
        <w:ind w:right="-199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Οι περισσότερες</w:t>
      </w:r>
      <w:r w:rsidR="0054157C">
        <w:rPr>
          <w:rFonts w:eastAsia="Calibri" w:cs="Arial"/>
          <w:sz w:val="24"/>
          <w:szCs w:val="24"/>
        </w:rPr>
        <w:t xml:space="preserve"> κοινοποιηθείσες </w:t>
      </w:r>
      <w:r>
        <w:rPr>
          <w:rFonts w:eastAsia="Calibri" w:cs="Arial"/>
          <w:sz w:val="24"/>
          <w:szCs w:val="24"/>
        </w:rPr>
        <w:t>θέσεις αφορούσαν</w:t>
      </w:r>
      <w:r w:rsidR="0054157C">
        <w:rPr>
          <w:rFonts w:eastAsia="Calibri" w:cs="Arial"/>
          <w:sz w:val="24"/>
          <w:szCs w:val="24"/>
        </w:rPr>
        <w:t xml:space="preserve"> τους τομείς των ξενοδοχείων (5</w:t>
      </w:r>
      <w:r w:rsidR="00A133EC" w:rsidRPr="00A133EC">
        <w:rPr>
          <w:rFonts w:eastAsia="Calibri" w:cs="Arial"/>
          <w:sz w:val="24"/>
          <w:szCs w:val="24"/>
        </w:rPr>
        <w:t>.</w:t>
      </w:r>
      <w:r w:rsidR="00A133EC">
        <w:rPr>
          <w:rFonts w:eastAsia="Calibri" w:cs="Arial"/>
          <w:sz w:val="24"/>
          <w:szCs w:val="24"/>
        </w:rPr>
        <w:t>441</w:t>
      </w:r>
      <w:r w:rsidR="0054157C">
        <w:rPr>
          <w:rFonts w:eastAsia="Calibri" w:cs="Arial"/>
          <w:sz w:val="24"/>
          <w:szCs w:val="24"/>
        </w:rPr>
        <w:t xml:space="preserve"> χιλιάδες), τη</w:t>
      </w:r>
      <w:r w:rsidR="00A133EC">
        <w:rPr>
          <w:rFonts w:eastAsia="Calibri" w:cs="Arial"/>
          <w:sz w:val="24"/>
          <w:szCs w:val="24"/>
        </w:rPr>
        <w:t>ν</w:t>
      </w:r>
      <w:r w:rsidR="0054157C">
        <w:rPr>
          <w:rFonts w:eastAsia="Calibri" w:cs="Arial"/>
          <w:sz w:val="24"/>
          <w:szCs w:val="24"/>
        </w:rPr>
        <w:t xml:space="preserve"> μεταποίηση (3</w:t>
      </w:r>
      <w:r w:rsidR="00A133EC">
        <w:rPr>
          <w:rFonts w:eastAsia="Calibri" w:cs="Arial"/>
          <w:sz w:val="24"/>
          <w:szCs w:val="24"/>
        </w:rPr>
        <w:t>.603</w:t>
      </w:r>
      <w:r w:rsidR="0054157C">
        <w:rPr>
          <w:rFonts w:eastAsia="Calibri" w:cs="Arial"/>
          <w:sz w:val="24"/>
          <w:szCs w:val="24"/>
        </w:rPr>
        <w:t xml:space="preserve"> χιλ.), το εμπ</w:t>
      </w:r>
      <w:r w:rsidR="00A133EC">
        <w:rPr>
          <w:rFonts w:eastAsia="Calibri" w:cs="Arial"/>
          <w:sz w:val="24"/>
          <w:szCs w:val="24"/>
        </w:rPr>
        <w:t>όριο</w:t>
      </w:r>
      <w:r w:rsidR="0054157C">
        <w:rPr>
          <w:rFonts w:eastAsia="Calibri" w:cs="Arial"/>
          <w:sz w:val="24"/>
          <w:szCs w:val="24"/>
        </w:rPr>
        <w:t xml:space="preserve"> (3</w:t>
      </w:r>
      <w:r w:rsidR="00900390">
        <w:rPr>
          <w:rFonts w:eastAsia="Calibri" w:cs="Arial"/>
          <w:sz w:val="24"/>
          <w:szCs w:val="24"/>
        </w:rPr>
        <w:t>.454</w:t>
      </w:r>
      <w:r w:rsidR="0054157C">
        <w:rPr>
          <w:rFonts w:eastAsia="Calibri" w:cs="Arial"/>
          <w:sz w:val="24"/>
          <w:szCs w:val="24"/>
        </w:rPr>
        <w:t xml:space="preserve"> χιλ.),</w:t>
      </w:r>
      <w:r w:rsidR="00900390">
        <w:rPr>
          <w:rFonts w:eastAsia="Calibri" w:cs="Arial"/>
          <w:sz w:val="24"/>
          <w:szCs w:val="24"/>
        </w:rPr>
        <w:t xml:space="preserve"> </w:t>
      </w:r>
      <w:r w:rsidR="00900390">
        <w:rPr>
          <w:rFonts w:eastAsia="Calibri" w:cs="Arial"/>
          <w:sz w:val="24"/>
          <w:szCs w:val="24"/>
        </w:rPr>
        <w:t>τις κατασκευές (2.736 χιλ)</w:t>
      </w:r>
      <w:r w:rsidR="00900390">
        <w:rPr>
          <w:rFonts w:eastAsia="Calibri" w:cs="Arial"/>
          <w:sz w:val="24"/>
          <w:szCs w:val="24"/>
        </w:rPr>
        <w:t xml:space="preserve"> και</w:t>
      </w:r>
      <w:r w:rsidR="0054157C">
        <w:rPr>
          <w:rFonts w:eastAsia="Calibri" w:cs="Arial"/>
          <w:sz w:val="24"/>
          <w:szCs w:val="24"/>
        </w:rPr>
        <w:t xml:space="preserve"> τη</w:t>
      </w:r>
      <w:r w:rsidR="00900390">
        <w:rPr>
          <w:rFonts w:eastAsia="Calibri" w:cs="Arial"/>
          <w:sz w:val="24"/>
          <w:szCs w:val="24"/>
        </w:rPr>
        <w:t>ν</w:t>
      </w:r>
      <w:r w:rsidR="0054157C">
        <w:rPr>
          <w:rFonts w:eastAsia="Calibri" w:cs="Arial"/>
          <w:sz w:val="24"/>
          <w:szCs w:val="24"/>
        </w:rPr>
        <w:t xml:space="preserve"> γεωργία/δασοκομία/αλιεία</w:t>
      </w:r>
      <w:r w:rsidR="00900390">
        <w:rPr>
          <w:rFonts w:eastAsia="Calibri" w:cs="Arial"/>
          <w:sz w:val="24"/>
          <w:szCs w:val="24"/>
        </w:rPr>
        <w:t xml:space="preserve"> </w:t>
      </w:r>
      <w:r w:rsidR="0054157C">
        <w:rPr>
          <w:rFonts w:eastAsia="Calibri" w:cs="Arial"/>
          <w:sz w:val="24"/>
          <w:szCs w:val="24"/>
        </w:rPr>
        <w:t>(2</w:t>
      </w:r>
      <w:r w:rsidR="00900390">
        <w:rPr>
          <w:rFonts w:eastAsia="Calibri" w:cs="Arial"/>
          <w:sz w:val="24"/>
          <w:szCs w:val="24"/>
        </w:rPr>
        <w:t>.599 χιλ.)</w:t>
      </w:r>
      <w:r w:rsidR="0054157C">
        <w:rPr>
          <w:rFonts w:eastAsia="Calibri" w:cs="Arial"/>
          <w:sz w:val="24"/>
          <w:szCs w:val="24"/>
        </w:rPr>
        <w:t xml:space="preserve">. </w:t>
      </w:r>
      <w:r>
        <w:rPr>
          <w:rFonts w:eastAsia="Calibri" w:cs="Arial"/>
          <w:sz w:val="24"/>
          <w:szCs w:val="24"/>
        </w:rPr>
        <w:t xml:space="preserve"> </w:t>
      </w:r>
    </w:p>
    <w:p w:rsidR="0054157C" w:rsidRDefault="0054157C" w:rsidP="00306ADA">
      <w:pPr>
        <w:ind w:right="-199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Κατά επαγγελματική κατηγορία οι περισσότερες κοινοποιηθείσες θέσεις αφορούσαν την ζήτηση ανειδίκευτων εργατών, χειρωνακτών και μικροεπαγγελματιών (</w:t>
      </w:r>
      <w:r w:rsidR="00900390">
        <w:rPr>
          <w:rFonts w:eastAsia="Calibri" w:cs="Arial"/>
          <w:sz w:val="24"/>
          <w:szCs w:val="24"/>
        </w:rPr>
        <w:t>9.136</w:t>
      </w:r>
      <w:r>
        <w:rPr>
          <w:rFonts w:eastAsia="Calibri" w:cs="Arial"/>
          <w:sz w:val="24"/>
          <w:szCs w:val="24"/>
        </w:rPr>
        <w:t xml:space="preserve"> χιλ.), απασχολουμένων στην παροχή υπηρεσιών και πωλητές (</w:t>
      </w:r>
      <w:r w:rsidR="00900390">
        <w:rPr>
          <w:rFonts w:eastAsia="Calibri" w:cs="Arial"/>
          <w:sz w:val="24"/>
          <w:szCs w:val="24"/>
        </w:rPr>
        <w:t>5.853</w:t>
      </w:r>
      <w:r>
        <w:rPr>
          <w:rFonts w:eastAsia="Calibri" w:cs="Arial"/>
          <w:sz w:val="24"/>
          <w:szCs w:val="24"/>
        </w:rPr>
        <w:t xml:space="preserve"> χιλ.), ειδικευμένους τεχνίτες και ασκούντες συναφή επαγγέλματα (</w:t>
      </w:r>
      <w:r w:rsidR="00900390">
        <w:rPr>
          <w:rFonts w:eastAsia="Calibri" w:cs="Arial"/>
          <w:sz w:val="24"/>
          <w:szCs w:val="24"/>
        </w:rPr>
        <w:t>4.013</w:t>
      </w:r>
      <w:r>
        <w:rPr>
          <w:rFonts w:eastAsia="Calibri" w:cs="Arial"/>
          <w:sz w:val="24"/>
          <w:szCs w:val="24"/>
        </w:rPr>
        <w:t xml:space="preserve"> χιλ.), επαγγελματίες (</w:t>
      </w:r>
      <w:r w:rsidR="00900390">
        <w:rPr>
          <w:rFonts w:eastAsia="Calibri" w:cs="Arial"/>
          <w:sz w:val="24"/>
          <w:szCs w:val="24"/>
        </w:rPr>
        <w:t>2.157</w:t>
      </w:r>
      <w:r>
        <w:rPr>
          <w:rFonts w:eastAsia="Calibri" w:cs="Arial"/>
          <w:sz w:val="24"/>
          <w:szCs w:val="24"/>
        </w:rPr>
        <w:t xml:space="preserve"> </w:t>
      </w:r>
      <w:r w:rsidR="00900390">
        <w:rPr>
          <w:rFonts w:eastAsia="Calibri" w:cs="Arial"/>
          <w:sz w:val="24"/>
          <w:szCs w:val="24"/>
        </w:rPr>
        <w:t xml:space="preserve">χιλ.) και υπαλλήλους γραφείου (981 </w:t>
      </w:r>
      <w:r>
        <w:rPr>
          <w:rFonts w:eastAsia="Calibri" w:cs="Arial"/>
          <w:sz w:val="24"/>
          <w:szCs w:val="24"/>
        </w:rPr>
        <w:t>χιλ.).</w:t>
      </w:r>
    </w:p>
    <w:p w:rsidR="00525013" w:rsidRPr="003B5E2D" w:rsidRDefault="00525013" w:rsidP="00306ADA">
      <w:pPr>
        <w:ind w:right="-199"/>
        <w:jc w:val="both"/>
        <w:rPr>
          <w:rFonts w:eastAsia="Calibri" w:cs="Arial"/>
          <w:sz w:val="20"/>
          <w:szCs w:val="20"/>
        </w:rPr>
      </w:pPr>
    </w:p>
    <w:p w:rsidR="007C6ACD" w:rsidRDefault="007C6ACD" w:rsidP="00444484">
      <w:pPr>
        <w:pStyle w:val="ListParagraph"/>
        <w:numPr>
          <w:ilvl w:val="0"/>
          <w:numId w:val="3"/>
        </w:numPr>
        <w:spacing w:line="276" w:lineRule="auto"/>
        <w:ind w:left="709" w:hanging="283"/>
        <w:rPr>
          <w:rFonts w:asciiTheme="minorHAnsi" w:eastAsia="Calibri" w:hAnsiTheme="minorHAnsi" w:cs="Arial"/>
          <w:sz w:val="26"/>
          <w:szCs w:val="26"/>
          <w:lang w:val="el-GR"/>
        </w:rPr>
      </w:pPr>
      <w:r w:rsidRPr="009B7BBA">
        <w:rPr>
          <w:rFonts w:asciiTheme="minorHAnsi" w:eastAsia="Calibri" w:hAnsiTheme="minorHAnsi" w:cs="Arial"/>
          <w:sz w:val="26"/>
          <w:szCs w:val="26"/>
          <w:lang w:val="el-GR"/>
        </w:rPr>
        <w:t>Ενεργές</w:t>
      </w:r>
      <w:r w:rsidR="00525013">
        <w:rPr>
          <w:rFonts w:asciiTheme="minorHAnsi" w:eastAsia="Calibri" w:hAnsiTheme="minorHAnsi" w:cs="Arial"/>
          <w:sz w:val="26"/>
          <w:szCs w:val="26"/>
        </w:rPr>
        <w:t xml:space="preserve"> </w:t>
      </w:r>
      <w:r w:rsidR="00525013">
        <w:rPr>
          <w:rFonts w:asciiTheme="minorHAnsi" w:eastAsia="Calibri" w:hAnsiTheme="minorHAnsi" w:cs="Arial"/>
          <w:sz w:val="26"/>
          <w:szCs w:val="26"/>
          <w:lang w:val="el-GR"/>
        </w:rPr>
        <w:t>Θέσεις Εργασίας</w:t>
      </w:r>
    </w:p>
    <w:p w:rsidR="00525013" w:rsidRPr="00525013" w:rsidRDefault="00525013" w:rsidP="00525013">
      <w:pPr>
        <w:pStyle w:val="ListParagraph"/>
        <w:spacing w:line="276" w:lineRule="auto"/>
        <w:ind w:left="709"/>
        <w:rPr>
          <w:rFonts w:asciiTheme="minorHAnsi" w:eastAsia="Calibri" w:hAnsiTheme="minorHAnsi" w:cs="Arial"/>
          <w:lang w:val="el-GR"/>
        </w:rPr>
      </w:pPr>
    </w:p>
    <w:p w:rsidR="00525013" w:rsidRDefault="00525013" w:rsidP="00525013">
      <w:pPr>
        <w:ind w:right="-199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Ο μέσος όρος των ενεργών κενών θέσεων εργασίας στα επαρχιακά και τοπικά γραφεία εργασίας αριθμούσαν σε </w:t>
      </w:r>
      <w:r w:rsidR="00900390" w:rsidRPr="00900390">
        <w:rPr>
          <w:rFonts w:eastAsia="Calibri" w:cs="Arial"/>
          <w:sz w:val="24"/>
          <w:szCs w:val="24"/>
          <w:u w:val="single"/>
        </w:rPr>
        <w:t>9.754</w:t>
      </w:r>
      <w:r w:rsidR="00900390">
        <w:rPr>
          <w:rFonts w:eastAsia="Calibri" w:cs="Arial"/>
          <w:sz w:val="24"/>
          <w:szCs w:val="24"/>
          <w:u w:val="single"/>
        </w:rPr>
        <w:t xml:space="preserve"> χιλιάδες το 2019</w:t>
      </w:r>
      <w:r w:rsidR="00900390">
        <w:rPr>
          <w:rFonts w:eastAsia="Calibri" w:cs="Arial"/>
          <w:sz w:val="24"/>
          <w:szCs w:val="24"/>
        </w:rPr>
        <w:t xml:space="preserve">. Ο αντίστοιχος αριθμός το 2018 ήταν 8.604 </w:t>
      </w:r>
      <w:r>
        <w:rPr>
          <w:rFonts w:eastAsia="Calibri" w:cs="Arial"/>
          <w:sz w:val="24"/>
          <w:szCs w:val="24"/>
        </w:rPr>
        <w:t>χιλ., αυξήθηκαν δηλαδή το 201</w:t>
      </w:r>
      <w:r w:rsidR="00900390">
        <w:rPr>
          <w:rFonts w:eastAsia="Calibri" w:cs="Arial"/>
          <w:sz w:val="24"/>
          <w:szCs w:val="24"/>
        </w:rPr>
        <w:t>9</w:t>
      </w:r>
      <w:r>
        <w:rPr>
          <w:rFonts w:eastAsia="Calibri" w:cs="Arial"/>
          <w:sz w:val="24"/>
          <w:szCs w:val="24"/>
        </w:rPr>
        <w:t xml:space="preserve"> κατά 1</w:t>
      </w:r>
      <w:r w:rsidR="00900390">
        <w:rPr>
          <w:rFonts w:eastAsia="Calibri" w:cs="Arial"/>
          <w:sz w:val="24"/>
          <w:szCs w:val="24"/>
        </w:rPr>
        <w:t>.150</w:t>
      </w:r>
      <w:r>
        <w:rPr>
          <w:rFonts w:eastAsia="Calibri" w:cs="Arial"/>
          <w:sz w:val="24"/>
          <w:szCs w:val="24"/>
        </w:rPr>
        <w:t xml:space="preserve"> </w:t>
      </w:r>
      <w:r w:rsidR="000F3A23">
        <w:rPr>
          <w:rFonts w:eastAsia="Calibri" w:cs="Arial"/>
          <w:sz w:val="24"/>
          <w:szCs w:val="24"/>
        </w:rPr>
        <w:t>θέσεις</w:t>
      </w:r>
      <w:r>
        <w:rPr>
          <w:rFonts w:eastAsia="Calibri" w:cs="Arial"/>
          <w:sz w:val="24"/>
          <w:szCs w:val="24"/>
        </w:rPr>
        <w:t xml:space="preserve"> ή 1</w:t>
      </w:r>
      <w:r w:rsidR="00900390">
        <w:rPr>
          <w:rFonts w:eastAsia="Calibri" w:cs="Arial"/>
          <w:sz w:val="24"/>
          <w:szCs w:val="24"/>
        </w:rPr>
        <w:t>3,4</w:t>
      </w:r>
      <w:r>
        <w:rPr>
          <w:rFonts w:eastAsia="Calibri" w:cs="Arial"/>
          <w:sz w:val="24"/>
          <w:szCs w:val="24"/>
        </w:rPr>
        <w:t>%.</w:t>
      </w:r>
    </w:p>
    <w:p w:rsidR="00525013" w:rsidRDefault="00525013" w:rsidP="00525013">
      <w:pPr>
        <w:ind w:right="-199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Οι περισσότερες ενεργές θέσεις εργασίας αφορούσαν τους τομείς των ξενοδοχείων (2</w:t>
      </w:r>
      <w:r w:rsidR="00346A4A">
        <w:rPr>
          <w:rFonts w:eastAsia="Calibri" w:cs="Arial"/>
          <w:sz w:val="24"/>
          <w:szCs w:val="24"/>
        </w:rPr>
        <w:t>.</w:t>
      </w:r>
      <w:r w:rsidR="00900390">
        <w:rPr>
          <w:rFonts w:eastAsia="Calibri" w:cs="Arial"/>
          <w:sz w:val="24"/>
          <w:szCs w:val="24"/>
        </w:rPr>
        <w:t>173</w:t>
      </w:r>
      <w:r>
        <w:rPr>
          <w:rFonts w:eastAsia="Calibri" w:cs="Arial"/>
          <w:sz w:val="24"/>
          <w:szCs w:val="24"/>
        </w:rPr>
        <w:t xml:space="preserve"> χιλιάδες), τη</w:t>
      </w:r>
      <w:r w:rsidR="00900390">
        <w:rPr>
          <w:rFonts w:eastAsia="Calibri" w:cs="Arial"/>
          <w:sz w:val="24"/>
          <w:szCs w:val="24"/>
        </w:rPr>
        <w:t>ν</w:t>
      </w:r>
      <w:r>
        <w:rPr>
          <w:rFonts w:eastAsia="Calibri" w:cs="Arial"/>
          <w:sz w:val="24"/>
          <w:szCs w:val="24"/>
        </w:rPr>
        <w:t xml:space="preserve"> μεταποίηση</w:t>
      </w:r>
      <w:r w:rsidR="00346A4A">
        <w:rPr>
          <w:rFonts w:eastAsia="Calibri" w:cs="Arial"/>
          <w:sz w:val="24"/>
          <w:szCs w:val="24"/>
        </w:rPr>
        <w:t xml:space="preserve"> (1.</w:t>
      </w:r>
      <w:r w:rsidR="00900390">
        <w:rPr>
          <w:rFonts w:eastAsia="Calibri" w:cs="Arial"/>
          <w:sz w:val="24"/>
          <w:szCs w:val="24"/>
        </w:rPr>
        <w:t>879</w:t>
      </w:r>
      <w:r>
        <w:rPr>
          <w:rFonts w:eastAsia="Calibri" w:cs="Arial"/>
          <w:sz w:val="24"/>
          <w:szCs w:val="24"/>
        </w:rPr>
        <w:t xml:space="preserve"> χιλ.), και το εμπ</w:t>
      </w:r>
      <w:r w:rsidR="00900390">
        <w:rPr>
          <w:rFonts w:eastAsia="Calibri" w:cs="Arial"/>
          <w:sz w:val="24"/>
          <w:szCs w:val="24"/>
        </w:rPr>
        <w:t>όριο</w:t>
      </w:r>
      <w:r>
        <w:rPr>
          <w:rFonts w:eastAsia="Calibri" w:cs="Arial"/>
          <w:sz w:val="24"/>
          <w:szCs w:val="24"/>
        </w:rPr>
        <w:t xml:space="preserve"> (1</w:t>
      </w:r>
      <w:r w:rsidR="00346A4A">
        <w:rPr>
          <w:rFonts w:eastAsia="Calibri" w:cs="Arial"/>
          <w:sz w:val="24"/>
          <w:szCs w:val="24"/>
        </w:rPr>
        <w:t>.</w:t>
      </w:r>
      <w:r w:rsidR="00900390">
        <w:rPr>
          <w:rFonts w:eastAsia="Calibri" w:cs="Arial"/>
          <w:sz w:val="24"/>
          <w:szCs w:val="24"/>
        </w:rPr>
        <w:t>322</w:t>
      </w:r>
      <w:r>
        <w:rPr>
          <w:rFonts w:eastAsia="Calibri" w:cs="Arial"/>
          <w:sz w:val="24"/>
          <w:szCs w:val="24"/>
        </w:rPr>
        <w:t xml:space="preserve"> χιλ.). </w:t>
      </w:r>
    </w:p>
    <w:p w:rsidR="00525013" w:rsidRDefault="00525013" w:rsidP="00525013">
      <w:pPr>
        <w:ind w:right="-199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Κατά επαγγελματική κατηγορία οι περισσότερες ενεργές θέσεις αφορούσαν στη ζήτηση ανειδίκευτων εργατών, χειρωνακτών και μικροεπαγγελματιών (</w:t>
      </w:r>
      <w:r w:rsidR="00900390">
        <w:rPr>
          <w:rFonts w:eastAsia="Calibri" w:cs="Arial"/>
          <w:sz w:val="24"/>
          <w:szCs w:val="24"/>
        </w:rPr>
        <w:t>3</w:t>
      </w:r>
      <w:r w:rsidR="00346A4A">
        <w:rPr>
          <w:rFonts w:eastAsia="Calibri" w:cs="Arial"/>
          <w:sz w:val="24"/>
          <w:szCs w:val="24"/>
        </w:rPr>
        <w:t>.</w:t>
      </w:r>
      <w:r w:rsidR="00900390">
        <w:rPr>
          <w:rFonts w:eastAsia="Calibri" w:cs="Arial"/>
          <w:sz w:val="24"/>
          <w:szCs w:val="24"/>
        </w:rPr>
        <w:t>642</w:t>
      </w:r>
      <w:r>
        <w:rPr>
          <w:rFonts w:eastAsia="Calibri" w:cs="Arial"/>
          <w:sz w:val="24"/>
          <w:szCs w:val="24"/>
        </w:rPr>
        <w:t xml:space="preserve"> χιλ.), των απασχολουμένων στην πα</w:t>
      </w:r>
      <w:r w:rsidR="00900390">
        <w:rPr>
          <w:rFonts w:eastAsia="Calibri" w:cs="Arial"/>
          <w:sz w:val="24"/>
          <w:szCs w:val="24"/>
        </w:rPr>
        <w:t>ροχή υπηρεσιών και πωλητές (2</w:t>
      </w:r>
      <w:r w:rsidR="00346A4A">
        <w:rPr>
          <w:rFonts w:eastAsia="Calibri" w:cs="Arial"/>
          <w:sz w:val="24"/>
          <w:szCs w:val="24"/>
        </w:rPr>
        <w:t>.</w:t>
      </w:r>
      <w:r w:rsidR="00900390">
        <w:rPr>
          <w:rFonts w:eastAsia="Calibri" w:cs="Arial"/>
          <w:sz w:val="24"/>
          <w:szCs w:val="24"/>
        </w:rPr>
        <w:t>586</w:t>
      </w:r>
      <w:r>
        <w:rPr>
          <w:rFonts w:eastAsia="Calibri" w:cs="Arial"/>
          <w:sz w:val="24"/>
          <w:szCs w:val="24"/>
        </w:rPr>
        <w:t xml:space="preserve"> χιλ.) και σε ειδικευμένους τεχνίτες και α</w:t>
      </w:r>
      <w:r w:rsidR="00900390">
        <w:rPr>
          <w:rFonts w:eastAsia="Calibri" w:cs="Arial"/>
          <w:sz w:val="24"/>
          <w:szCs w:val="24"/>
        </w:rPr>
        <w:t>σκούντες συναφή επαγγ</w:t>
      </w:r>
      <w:r w:rsidR="00346A4A">
        <w:rPr>
          <w:rFonts w:eastAsia="Calibri" w:cs="Arial"/>
          <w:sz w:val="24"/>
          <w:szCs w:val="24"/>
        </w:rPr>
        <w:t>έλματα (1.</w:t>
      </w:r>
      <w:r w:rsidR="00900390">
        <w:rPr>
          <w:rFonts w:eastAsia="Calibri" w:cs="Arial"/>
          <w:sz w:val="24"/>
          <w:szCs w:val="24"/>
        </w:rPr>
        <w:t>626</w:t>
      </w:r>
      <w:r>
        <w:rPr>
          <w:rFonts w:eastAsia="Calibri" w:cs="Arial"/>
          <w:sz w:val="24"/>
          <w:szCs w:val="24"/>
        </w:rPr>
        <w:t xml:space="preserve"> χιλ.).</w:t>
      </w:r>
    </w:p>
    <w:p w:rsidR="00525013" w:rsidRPr="003B5E2D" w:rsidRDefault="00525013" w:rsidP="00525013">
      <w:pPr>
        <w:rPr>
          <w:rFonts w:eastAsia="Calibri" w:cs="Arial"/>
          <w:sz w:val="20"/>
          <w:szCs w:val="20"/>
        </w:rPr>
      </w:pPr>
    </w:p>
    <w:p w:rsidR="007C6ACD" w:rsidRDefault="007C6ACD" w:rsidP="00444484">
      <w:pPr>
        <w:pStyle w:val="ListParagraph"/>
        <w:numPr>
          <w:ilvl w:val="0"/>
          <w:numId w:val="3"/>
        </w:numPr>
        <w:spacing w:line="276" w:lineRule="auto"/>
        <w:ind w:left="709" w:hanging="283"/>
        <w:rPr>
          <w:rFonts w:asciiTheme="minorHAnsi" w:eastAsia="Calibri" w:hAnsiTheme="minorHAnsi" w:cs="Arial"/>
          <w:sz w:val="26"/>
          <w:szCs w:val="26"/>
          <w:lang w:val="el-GR"/>
        </w:rPr>
      </w:pPr>
      <w:r w:rsidRPr="009B7BBA">
        <w:rPr>
          <w:rFonts w:asciiTheme="minorHAnsi" w:eastAsia="Calibri" w:hAnsiTheme="minorHAnsi" w:cs="Arial"/>
          <w:sz w:val="26"/>
          <w:szCs w:val="26"/>
          <w:lang w:val="el-GR"/>
        </w:rPr>
        <w:t>Τερματισμένες</w:t>
      </w:r>
      <w:r w:rsidR="003B5E2D">
        <w:rPr>
          <w:rFonts w:asciiTheme="minorHAnsi" w:eastAsia="Calibri" w:hAnsiTheme="minorHAnsi" w:cs="Arial"/>
          <w:sz w:val="26"/>
          <w:szCs w:val="26"/>
          <w:lang w:val="el-GR"/>
        </w:rPr>
        <w:t xml:space="preserve"> Θέσεις Εργασίας</w:t>
      </w:r>
    </w:p>
    <w:p w:rsidR="003B5E2D" w:rsidRPr="003B5E2D" w:rsidRDefault="003B5E2D" w:rsidP="003B5E2D">
      <w:pPr>
        <w:pStyle w:val="ListParagraph"/>
        <w:spacing w:line="276" w:lineRule="auto"/>
        <w:ind w:left="709"/>
        <w:rPr>
          <w:rFonts w:asciiTheme="minorHAnsi" w:eastAsia="Calibri" w:hAnsiTheme="minorHAnsi" w:cs="Arial"/>
          <w:lang w:val="el-GR"/>
        </w:rPr>
      </w:pPr>
    </w:p>
    <w:p w:rsidR="00583829" w:rsidRPr="00900390" w:rsidRDefault="003B5E2D" w:rsidP="007C6ACD">
      <w:pPr>
        <w:spacing w:after="240"/>
        <w:jc w:val="both"/>
        <w:rPr>
          <w:rFonts w:ascii="Calibri" w:hAnsi="Calibri"/>
          <w:sz w:val="24"/>
          <w:szCs w:val="24"/>
        </w:rPr>
      </w:pPr>
      <w:r w:rsidRPr="00900390">
        <w:rPr>
          <w:rFonts w:ascii="Calibri" w:hAnsi="Calibri"/>
          <w:sz w:val="24"/>
          <w:szCs w:val="24"/>
        </w:rPr>
        <w:t>Το σύνολο των τερματισμένων κενών θέσεων εργασίας το 201</w:t>
      </w:r>
      <w:r w:rsidR="00900390" w:rsidRPr="00900390">
        <w:rPr>
          <w:rFonts w:ascii="Calibri" w:hAnsi="Calibri"/>
          <w:sz w:val="24"/>
          <w:szCs w:val="24"/>
        </w:rPr>
        <w:t>9</w:t>
      </w:r>
      <w:r w:rsidRPr="00900390">
        <w:rPr>
          <w:rFonts w:ascii="Calibri" w:hAnsi="Calibri"/>
          <w:sz w:val="24"/>
          <w:szCs w:val="24"/>
        </w:rPr>
        <w:t xml:space="preserve"> ήταν </w:t>
      </w:r>
      <w:r w:rsidRPr="00900390">
        <w:rPr>
          <w:rFonts w:ascii="Calibri" w:hAnsi="Calibri"/>
          <w:sz w:val="24"/>
          <w:szCs w:val="24"/>
          <w:u w:val="single"/>
        </w:rPr>
        <w:t>19</w:t>
      </w:r>
      <w:r w:rsidR="00900390">
        <w:rPr>
          <w:rFonts w:ascii="Calibri" w:hAnsi="Calibri"/>
          <w:sz w:val="24"/>
          <w:szCs w:val="24"/>
          <w:u w:val="single"/>
        </w:rPr>
        <w:t>.338</w:t>
      </w:r>
      <w:r w:rsidRPr="00900390">
        <w:rPr>
          <w:rFonts w:ascii="Calibri" w:hAnsi="Calibri"/>
          <w:sz w:val="24"/>
          <w:szCs w:val="24"/>
          <w:u w:val="single"/>
        </w:rPr>
        <w:t xml:space="preserve"> χιλιάδες</w:t>
      </w:r>
      <w:r w:rsidRPr="00900390">
        <w:rPr>
          <w:rFonts w:ascii="Calibri" w:hAnsi="Calibri"/>
          <w:sz w:val="24"/>
          <w:szCs w:val="24"/>
        </w:rPr>
        <w:t xml:space="preserve"> ενώ το 201</w:t>
      </w:r>
      <w:r w:rsidR="00900390">
        <w:rPr>
          <w:rFonts w:ascii="Calibri" w:hAnsi="Calibri"/>
          <w:sz w:val="24"/>
          <w:szCs w:val="24"/>
        </w:rPr>
        <w:t>8</w:t>
      </w:r>
      <w:r w:rsidRPr="00900390">
        <w:rPr>
          <w:rFonts w:ascii="Calibri" w:hAnsi="Calibri"/>
          <w:sz w:val="24"/>
          <w:szCs w:val="24"/>
        </w:rPr>
        <w:t xml:space="preserve"> ήταν </w:t>
      </w:r>
      <w:r w:rsidR="00900390">
        <w:rPr>
          <w:rFonts w:ascii="Calibri" w:hAnsi="Calibri"/>
          <w:sz w:val="24"/>
          <w:szCs w:val="24"/>
        </w:rPr>
        <w:t>19.564</w:t>
      </w:r>
      <w:r w:rsidRPr="00900390">
        <w:rPr>
          <w:rFonts w:ascii="Calibri" w:hAnsi="Calibri"/>
          <w:sz w:val="24"/>
          <w:szCs w:val="24"/>
        </w:rPr>
        <w:t xml:space="preserve"> χιλιάδες.</w:t>
      </w:r>
    </w:p>
    <w:p w:rsidR="00583829" w:rsidRPr="0027016F" w:rsidRDefault="00583829" w:rsidP="00311B33">
      <w:pPr>
        <w:spacing w:after="240"/>
        <w:jc w:val="both"/>
        <w:rPr>
          <w:rFonts w:ascii="Calibri" w:hAnsi="Calibri"/>
          <w:sz w:val="24"/>
          <w:szCs w:val="24"/>
        </w:rPr>
      </w:pPr>
    </w:p>
    <w:p w:rsidR="008E38ED" w:rsidRPr="0027016F" w:rsidRDefault="008E38ED" w:rsidP="00311B33">
      <w:pPr>
        <w:jc w:val="both"/>
        <w:rPr>
          <w:sz w:val="24"/>
          <w:szCs w:val="24"/>
        </w:rPr>
      </w:pPr>
    </w:p>
    <w:p w:rsidR="003B5E2D" w:rsidRPr="00900390" w:rsidRDefault="003B5E2D" w:rsidP="003B5E2D">
      <w:pPr>
        <w:pStyle w:val="ListParagraph"/>
        <w:numPr>
          <w:ilvl w:val="0"/>
          <w:numId w:val="5"/>
        </w:numPr>
        <w:rPr>
          <w:rFonts w:asciiTheme="minorHAnsi" w:eastAsia="Calibri" w:hAnsiTheme="minorHAnsi" w:cs="Arial"/>
          <w:sz w:val="26"/>
          <w:szCs w:val="26"/>
          <w:lang w:val="el-GR"/>
        </w:rPr>
      </w:pPr>
      <w:r>
        <w:rPr>
          <w:rFonts w:asciiTheme="minorHAnsi" w:eastAsia="Calibri" w:hAnsiTheme="minorHAnsi" w:cs="Arial"/>
          <w:sz w:val="26"/>
          <w:szCs w:val="26"/>
          <w:lang w:val="el-GR"/>
        </w:rPr>
        <w:lastRenderedPageBreak/>
        <w:t>Τοποθετήσεις</w:t>
      </w:r>
    </w:p>
    <w:p w:rsidR="00B70D48" w:rsidRDefault="00B70D48" w:rsidP="00311B33">
      <w:pPr>
        <w:jc w:val="both"/>
        <w:rPr>
          <w:sz w:val="24"/>
          <w:szCs w:val="24"/>
        </w:rPr>
      </w:pPr>
    </w:p>
    <w:p w:rsidR="009B0F9B" w:rsidRDefault="00B70D48" w:rsidP="00311B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σύνολο των τοποθετήσεων </w:t>
      </w:r>
      <w:r w:rsidRPr="00B70D48">
        <w:rPr>
          <w:sz w:val="24"/>
          <w:szCs w:val="24"/>
          <w:u w:val="single"/>
        </w:rPr>
        <w:t>το 201</w:t>
      </w:r>
      <w:r w:rsidR="000F3A23">
        <w:rPr>
          <w:sz w:val="24"/>
          <w:szCs w:val="24"/>
          <w:u w:val="single"/>
        </w:rPr>
        <w:t>9</w:t>
      </w:r>
      <w:r w:rsidRPr="00B70D48">
        <w:rPr>
          <w:sz w:val="24"/>
          <w:szCs w:val="24"/>
          <w:u w:val="single"/>
        </w:rPr>
        <w:t xml:space="preserve"> ήταν 3</w:t>
      </w:r>
      <w:r w:rsidR="000F3A23">
        <w:rPr>
          <w:sz w:val="24"/>
          <w:szCs w:val="24"/>
          <w:u w:val="single"/>
        </w:rPr>
        <w:t>.341</w:t>
      </w:r>
      <w:r>
        <w:rPr>
          <w:sz w:val="24"/>
          <w:szCs w:val="24"/>
          <w:u w:val="single"/>
        </w:rPr>
        <w:t xml:space="preserve"> χιλιάδες</w:t>
      </w:r>
      <w:r>
        <w:rPr>
          <w:sz w:val="24"/>
          <w:szCs w:val="24"/>
        </w:rPr>
        <w:t>, ενώ το 201</w:t>
      </w:r>
      <w:r w:rsidR="000F3A23">
        <w:rPr>
          <w:sz w:val="24"/>
          <w:szCs w:val="24"/>
        </w:rPr>
        <w:t>8</w:t>
      </w:r>
      <w:r>
        <w:rPr>
          <w:sz w:val="24"/>
          <w:szCs w:val="24"/>
        </w:rPr>
        <w:t xml:space="preserve"> ήταν </w:t>
      </w:r>
      <w:r w:rsidR="000F3A23">
        <w:rPr>
          <w:sz w:val="24"/>
          <w:szCs w:val="24"/>
        </w:rPr>
        <w:t>3.705</w:t>
      </w:r>
      <w:r>
        <w:rPr>
          <w:sz w:val="24"/>
          <w:szCs w:val="24"/>
        </w:rPr>
        <w:t xml:space="preserve"> χιλιάδες, </w:t>
      </w:r>
      <w:r w:rsidR="007E7F64">
        <w:rPr>
          <w:sz w:val="24"/>
          <w:szCs w:val="24"/>
        </w:rPr>
        <w:t>μειώθηκαν δηλαδή το 201</w:t>
      </w:r>
      <w:r w:rsidR="000F3A23">
        <w:rPr>
          <w:sz w:val="24"/>
          <w:szCs w:val="24"/>
        </w:rPr>
        <w:t>9</w:t>
      </w:r>
      <w:r w:rsidR="007E7F64">
        <w:rPr>
          <w:sz w:val="24"/>
          <w:szCs w:val="24"/>
        </w:rPr>
        <w:t xml:space="preserve"> κατά </w:t>
      </w:r>
      <w:r w:rsidR="000F3A23">
        <w:rPr>
          <w:sz w:val="24"/>
          <w:szCs w:val="24"/>
        </w:rPr>
        <w:t>364</w:t>
      </w:r>
      <w:r w:rsidR="007E7F64">
        <w:rPr>
          <w:sz w:val="24"/>
          <w:szCs w:val="24"/>
        </w:rPr>
        <w:t xml:space="preserve"> τοποθετήσεις ή 9</w:t>
      </w:r>
      <w:r w:rsidR="000F3A23">
        <w:rPr>
          <w:sz w:val="24"/>
          <w:szCs w:val="24"/>
        </w:rPr>
        <w:t>,8</w:t>
      </w:r>
      <w:r w:rsidR="007E7F64">
        <w:rPr>
          <w:sz w:val="24"/>
          <w:szCs w:val="24"/>
        </w:rPr>
        <w:t xml:space="preserve">%. Κατά φύλο </w:t>
      </w:r>
      <w:r w:rsidR="00346A4A">
        <w:rPr>
          <w:sz w:val="24"/>
          <w:szCs w:val="24"/>
        </w:rPr>
        <w:t>στους άντρες έγιναν 2.</w:t>
      </w:r>
      <w:r w:rsidR="000F3A23">
        <w:rPr>
          <w:sz w:val="24"/>
          <w:szCs w:val="24"/>
        </w:rPr>
        <w:t>030</w:t>
      </w:r>
      <w:r w:rsidR="007E7F64">
        <w:rPr>
          <w:sz w:val="24"/>
          <w:szCs w:val="24"/>
        </w:rPr>
        <w:t xml:space="preserve"> τοποθετήσεις ή 6</w:t>
      </w:r>
      <w:r w:rsidR="000F3A23">
        <w:rPr>
          <w:sz w:val="24"/>
          <w:szCs w:val="24"/>
        </w:rPr>
        <w:t>1</w:t>
      </w:r>
      <w:r w:rsidR="00346A4A">
        <w:rPr>
          <w:sz w:val="24"/>
          <w:szCs w:val="24"/>
        </w:rPr>
        <w:t>% και στις γυναίκες 1.</w:t>
      </w:r>
      <w:r w:rsidR="000F3A23">
        <w:rPr>
          <w:sz w:val="24"/>
          <w:szCs w:val="24"/>
        </w:rPr>
        <w:t>311</w:t>
      </w:r>
      <w:r w:rsidR="007E7F64">
        <w:rPr>
          <w:sz w:val="24"/>
          <w:szCs w:val="24"/>
        </w:rPr>
        <w:t xml:space="preserve"> τοποθετήσεις ή 3</w:t>
      </w:r>
      <w:r w:rsidR="000F3A23">
        <w:rPr>
          <w:sz w:val="24"/>
          <w:szCs w:val="24"/>
        </w:rPr>
        <w:t>9</w:t>
      </w:r>
      <w:r w:rsidR="007E7F64">
        <w:rPr>
          <w:sz w:val="24"/>
          <w:szCs w:val="24"/>
        </w:rPr>
        <w:t>%.</w:t>
      </w:r>
    </w:p>
    <w:p w:rsidR="007E7F64" w:rsidRDefault="007E7F64" w:rsidP="00311B33">
      <w:pPr>
        <w:jc w:val="both"/>
        <w:rPr>
          <w:sz w:val="24"/>
          <w:szCs w:val="24"/>
        </w:rPr>
      </w:pPr>
      <w:r>
        <w:rPr>
          <w:sz w:val="24"/>
          <w:szCs w:val="24"/>
        </w:rPr>
        <w:t>Οι περισσότερες τοποθετήσεις έγιναν στην επαρχία Λευκωσίας (1</w:t>
      </w:r>
      <w:r w:rsidR="00170634">
        <w:rPr>
          <w:sz w:val="24"/>
          <w:szCs w:val="24"/>
        </w:rPr>
        <w:t>.239</w:t>
      </w:r>
      <w:r>
        <w:rPr>
          <w:sz w:val="24"/>
          <w:szCs w:val="24"/>
        </w:rPr>
        <w:t xml:space="preserve"> τοποθετήσεις ή 3</w:t>
      </w:r>
      <w:r w:rsidR="00170634">
        <w:rPr>
          <w:sz w:val="24"/>
          <w:szCs w:val="24"/>
        </w:rPr>
        <w:t>7</w:t>
      </w:r>
      <w:r>
        <w:rPr>
          <w:sz w:val="24"/>
          <w:szCs w:val="24"/>
        </w:rPr>
        <w:t>%), ακολούθως στην Λεμεσό (</w:t>
      </w:r>
      <w:r w:rsidR="00170634">
        <w:rPr>
          <w:sz w:val="24"/>
          <w:szCs w:val="24"/>
        </w:rPr>
        <w:t>899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τοποθ</w:t>
      </w:r>
      <w:proofErr w:type="spellEnd"/>
      <w:r>
        <w:rPr>
          <w:sz w:val="24"/>
          <w:szCs w:val="24"/>
        </w:rPr>
        <w:t>. ή 2</w:t>
      </w:r>
      <w:r w:rsidR="00170634">
        <w:rPr>
          <w:sz w:val="24"/>
          <w:szCs w:val="24"/>
        </w:rPr>
        <w:t>7</w:t>
      </w:r>
      <w:r>
        <w:rPr>
          <w:sz w:val="24"/>
          <w:szCs w:val="24"/>
        </w:rPr>
        <w:t>%),</w:t>
      </w:r>
      <w:r w:rsidR="00170634">
        <w:rPr>
          <w:sz w:val="24"/>
          <w:szCs w:val="24"/>
        </w:rPr>
        <w:t xml:space="preserve"> </w:t>
      </w:r>
      <w:r>
        <w:rPr>
          <w:sz w:val="24"/>
          <w:szCs w:val="24"/>
        </w:rPr>
        <w:t>στη Πάφο (</w:t>
      </w:r>
      <w:r w:rsidR="00170634">
        <w:rPr>
          <w:sz w:val="24"/>
          <w:szCs w:val="24"/>
        </w:rPr>
        <w:t>664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τοποθ</w:t>
      </w:r>
      <w:proofErr w:type="spellEnd"/>
      <w:r>
        <w:rPr>
          <w:sz w:val="24"/>
          <w:szCs w:val="24"/>
        </w:rPr>
        <w:t xml:space="preserve">. ή </w:t>
      </w:r>
      <w:r w:rsidR="00170634">
        <w:rPr>
          <w:sz w:val="24"/>
          <w:szCs w:val="24"/>
        </w:rPr>
        <w:t>20</w:t>
      </w:r>
      <w:r>
        <w:rPr>
          <w:sz w:val="24"/>
          <w:szCs w:val="24"/>
        </w:rPr>
        <w:t>%), στη Λάρνακα (</w:t>
      </w:r>
      <w:r w:rsidR="00170634">
        <w:rPr>
          <w:sz w:val="24"/>
          <w:szCs w:val="24"/>
        </w:rPr>
        <w:t>379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τοποθ</w:t>
      </w:r>
      <w:proofErr w:type="spellEnd"/>
      <w:r>
        <w:rPr>
          <w:sz w:val="24"/>
          <w:szCs w:val="24"/>
        </w:rPr>
        <w:t>. ή 1</w:t>
      </w:r>
      <w:r w:rsidR="00170634">
        <w:rPr>
          <w:sz w:val="24"/>
          <w:szCs w:val="24"/>
        </w:rPr>
        <w:t>1</w:t>
      </w:r>
      <w:r>
        <w:rPr>
          <w:sz w:val="24"/>
          <w:szCs w:val="24"/>
        </w:rPr>
        <w:t>%) και στην Αμμόχωστο (16</w:t>
      </w:r>
      <w:r w:rsidR="0017063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τοποθ</w:t>
      </w:r>
      <w:proofErr w:type="spellEnd"/>
      <w:r>
        <w:rPr>
          <w:sz w:val="24"/>
          <w:szCs w:val="24"/>
        </w:rPr>
        <w:t>. ή 5%).</w:t>
      </w:r>
    </w:p>
    <w:p w:rsidR="007E7F64" w:rsidRDefault="007E7F64" w:rsidP="00311B33">
      <w:pPr>
        <w:jc w:val="both"/>
        <w:rPr>
          <w:sz w:val="24"/>
          <w:szCs w:val="24"/>
        </w:rPr>
      </w:pPr>
      <w:r>
        <w:rPr>
          <w:sz w:val="24"/>
          <w:szCs w:val="24"/>
        </w:rPr>
        <w:t>Επιπλέον, οι περισσότερες τοποθετήσεις έγιναν στον τομέ</w:t>
      </w:r>
      <w:r w:rsidR="00F76C48">
        <w:rPr>
          <w:sz w:val="24"/>
          <w:szCs w:val="24"/>
        </w:rPr>
        <w:t>α</w:t>
      </w:r>
      <w:r>
        <w:rPr>
          <w:sz w:val="24"/>
          <w:szCs w:val="24"/>
        </w:rPr>
        <w:t xml:space="preserve"> </w:t>
      </w:r>
      <w:r w:rsidR="000F3A23">
        <w:rPr>
          <w:sz w:val="24"/>
          <w:szCs w:val="24"/>
        </w:rPr>
        <w:t>του εμπορίου</w:t>
      </w:r>
      <w:r>
        <w:rPr>
          <w:sz w:val="24"/>
          <w:szCs w:val="24"/>
        </w:rPr>
        <w:t xml:space="preserve"> (</w:t>
      </w:r>
      <w:r w:rsidR="000F3A23">
        <w:rPr>
          <w:sz w:val="24"/>
          <w:szCs w:val="24"/>
        </w:rPr>
        <w:t>729</w:t>
      </w:r>
      <w:r>
        <w:rPr>
          <w:sz w:val="24"/>
          <w:szCs w:val="24"/>
        </w:rPr>
        <w:t xml:space="preserve"> τοποθετήσεις), ακολούθως στις κατασκευές (</w:t>
      </w:r>
      <w:r w:rsidR="000F3A23">
        <w:rPr>
          <w:sz w:val="24"/>
          <w:szCs w:val="24"/>
        </w:rPr>
        <w:t>534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τοποθ</w:t>
      </w:r>
      <w:proofErr w:type="spellEnd"/>
      <w:r>
        <w:rPr>
          <w:sz w:val="24"/>
          <w:szCs w:val="24"/>
        </w:rPr>
        <w:t>.), στις υπηρεσίες (5</w:t>
      </w:r>
      <w:r w:rsidR="000F3A23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τοποθ</w:t>
      </w:r>
      <w:proofErr w:type="spellEnd"/>
      <w:r>
        <w:rPr>
          <w:sz w:val="24"/>
          <w:szCs w:val="24"/>
        </w:rPr>
        <w:t xml:space="preserve">.), </w:t>
      </w:r>
      <w:r w:rsidR="000F3A23">
        <w:rPr>
          <w:sz w:val="24"/>
          <w:szCs w:val="24"/>
        </w:rPr>
        <w:t xml:space="preserve">στα ξενοδοχεία (483 </w:t>
      </w:r>
      <w:proofErr w:type="spellStart"/>
      <w:r w:rsidR="000F3A23">
        <w:rPr>
          <w:sz w:val="24"/>
          <w:szCs w:val="24"/>
        </w:rPr>
        <w:t>τοποθ</w:t>
      </w:r>
      <w:proofErr w:type="spellEnd"/>
      <w:r w:rsidR="000F3A23">
        <w:rPr>
          <w:sz w:val="24"/>
          <w:szCs w:val="24"/>
        </w:rPr>
        <w:t>.)</w:t>
      </w:r>
      <w:r w:rsidR="000F3A23">
        <w:rPr>
          <w:sz w:val="24"/>
          <w:szCs w:val="24"/>
        </w:rPr>
        <w:t>,</w:t>
      </w:r>
      <w:r w:rsidR="000F3A23">
        <w:rPr>
          <w:sz w:val="24"/>
          <w:szCs w:val="24"/>
        </w:rPr>
        <w:t xml:space="preserve"> </w:t>
      </w:r>
      <w:r>
        <w:rPr>
          <w:sz w:val="24"/>
          <w:szCs w:val="24"/>
        </w:rPr>
        <w:t>στη μεταποίηση (</w:t>
      </w:r>
      <w:r w:rsidR="000F3A23">
        <w:rPr>
          <w:sz w:val="24"/>
          <w:szCs w:val="24"/>
        </w:rPr>
        <w:t xml:space="preserve">376 </w:t>
      </w:r>
      <w:proofErr w:type="spellStart"/>
      <w:r w:rsidR="000F3A23">
        <w:rPr>
          <w:sz w:val="24"/>
          <w:szCs w:val="24"/>
        </w:rPr>
        <w:t>τοποθ</w:t>
      </w:r>
      <w:proofErr w:type="spellEnd"/>
      <w:r w:rsidR="000F3A23">
        <w:rPr>
          <w:sz w:val="24"/>
          <w:szCs w:val="24"/>
        </w:rPr>
        <w:t>.)</w:t>
      </w:r>
      <w:r>
        <w:rPr>
          <w:sz w:val="24"/>
          <w:szCs w:val="24"/>
        </w:rPr>
        <w:t xml:space="preserve"> και στη δημόσια διοίκηση (39</w:t>
      </w:r>
      <w:r w:rsidR="000F3A23">
        <w:rPr>
          <w:sz w:val="24"/>
          <w:szCs w:val="24"/>
        </w:rPr>
        <w:t>9</w:t>
      </w:r>
      <w:r w:rsidR="00F76C48">
        <w:rPr>
          <w:sz w:val="24"/>
          <w:szCs w:val="24"/>
        </w:rPr>
        <w:t xml:space="preserve"> </w:t>
      </w:r>
      <w:proofErr w:type="spellStart"/>
      <w:r w:rsidR="00F76C48">
        <w:rPr>
          <w:sz w:val="24"/>
          <w:szCs w:val="24"/>
        </w:rPr>
        <w:t>τοποθ</w:t>
      </w:r>
      <w:proofErr w:type="spellEnd"/>
      <w:r w:rsidR="00F76C48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F76C48" w:rsidRDefault="00A51731" w:rsidP="00311B33">
      <w:pPr>
        <w:jc w:val="both"/>
        <w:rPr>
          <w:sz w:val="24"/>
          <w:szCs w:val="24"/>
        </w:rPr>
      </w:pPr>
      <w:r>
        <w:rPr>
          <w:sz w:val="24"/>
          <w:szCs w:val="24"/>
        </w:rPr>
        <w:t>Σχεδόν μ</w:t>
      </w:r>
      <w:r w:rsidR="00646581">
        <w:rPr>
          <w:sz w:val="24"/>
          <w:szCs w:val="24"/>
        </w:rPr>
        <w:t>ισές από τις τοποθετήσ</w:t>
      </w:r>
      <w:r>
        <w:rPr>
          <w:sz w:val="24"/>
          <w:szCs w:val="24"/>
        </w:rPr>
        <w:t>εις αφορούσαν Ελληνοκύπριους (1.601</w:t>
      </w:r>
      <w:r w:rsidR="00646581">
        <w:rPr>
          <w:sz w:val="24"/>
          <w:szCs w:val="24"/>
        </w:rPr>
        <w:t xml:space="preserve"> </w:t>
      </w:r>
      <w:proofErr w:type="spellStart"/>
      <w:r w:rsidR="00646581">
        <w:rPr>
          <w:sz w:val="24"/>
          <w:szCs w:val="24"/>
        </w:rPr>
        <w:t>τοποθ</w:t>
      </w:r>
      <w:proofErr w:type="spellEnd"/>
      <w:r w:rsidR="00646581">
        <w:rPr>
          <w:sz w:val="24"/>
          <w:szCs w:val="24"/>
        </w:rPr>
        <w:t>.), ακολούθως σε Ευρωπαίους πολίτες (</w:t>
      </w:r>
      <w:r>
        <w:rPr>
          <w:sz w:val="24"/>
          <w:szCs w:val="24"/>
        </w:rPr>
        <w:t>520</w:t>
      </w:r>
      <w:r w:rsidR="00646581">
        <w:rPr>
          <w:sz w:val="24"/>
          <w:szCs w:val="24"/>
        </w:rPr>
        <w:t xml:space="preserve"> </w:t>
      </w:r>
      <w:proofErr w:type="spellStart"/>
      <w:r w:rsidR="00646581">
        <w:rPr>
          <w:sz w:val="24"/>
          <w:szCs w:val="24"/>
        </w:rPr>
        <w:t>τοποθ</w:t>
      </w:r>
      <w:proofErr w:type="spellEnd"/>
      <w:r w:rsidR="00646581">
        <w:rPr>
          <w:sz w:val="24"/>
          <w:szCs w:val="24"/>
        </w:rPr>
        <w:t xml:space="preserve">.), </w:t>
      </w:r>
      <w:r>
        <w:rPr>
          <w:sz w:val="24"/>
          <w:szCs w:val="24"/>
        </w:rPr>
        <w:t xml:space="preserve">σε αιτητές ασύλου (444 </w:t>
      </w:r>
      <w:proofErr w:type="spellStart"/>
      <w:r>
        <w:rPr>
          <w:sz w:val="24"/>
          <w:szCs w:val="24"/>
        </w:rPr>
        <w:t>τοποθ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σε αλλοδαπούς (185 </w:t>
      </w:r>
      <w:proofErr w:type="spellStart"/>
      <w:r>
        <w:rPr>
          <w:sz w:val="24"/>
          <w:szCs w:val="24"/>
        </w:rPr>
        <w:t>τοποθ</w:t>
      </w:r>
      <w:proofErr w:type="spellEnd"/>
      <w:r>
        <w:rPr>
          <w:sz w:val="24"/>
          <w:szCs w:val="24"/>
        </w:rPr>
        <w:t xml:space="preserve">.), </w:t>
      </w:r>
      <w:r w:rsidR="00646581">
        <w:rPr>
          <w:sz w:val="24"/>
          <w:szCs w:val="24"/>
        </w:rPr>
        <w:t>σε άτομα με καθεστώς συμπληρωματική</w:t>
      </w:r>
      <w:r>
        <w:rPr>
          <w:sz w:val="24"/>
          <w:szCs w:val="24"/>
        </w:rPr>
        <w:t>ς</w:t>
      </w:r>
      <w:r w:rsidR="00646581">
        <w:rPr>
          <w:sz w:val="24"/>
          <w:szCs w:val="24"/>
        </w:rPr>
        <w:t xml:space="preserve"> προστασίας (1</w:t>
      </w:r>
      <w:r>
        <w:rPr>
          <w:sz w:val="24"/>
          <w:szCs w:val="24"/>
        </w:rPr>
        <w:t xml:space="preserve">42 </w:t>
      </w:r>
      <w:proofErr w:type="spellStart"/>
      <w:r>
        <w:rPr>
          <w:sz w:val="24"/>
          <w:szCs w:val="24"/>
        </w:rPr>
        <w:t>τοποθ</w:t>
      </w:r>
      <w:proofErr w:type="spellEnd"/>
      <w:r>
        <w:rPr>
          <w:sz w:val="24"/>
          <w:szCs w:val="24"/>
        </w:rPr>
        <w:t>.) και</w:t>
      </w:r>
      <w:r w:rsidR="00646581">
        <w:rPr>
          <w:sz w:val="24"/>
          <w:szCs w:val="24"/>
        </w:rPr>
        <w:t xml:space="preserve"> σε πόν</w:t>
      </w:r>
      <w:r>
        <w:rPr>
          <w:sz w:val="24"/>
          <w:szCs w:val="24"/>
        </w:rPr>
        <w:t xml:space="preserve">τιους με ελληνικό διαβατήριο (104 </w:t>
      </w:r>
      <w:proofErr w:type="spellStart"/>
      <w:r>
        <w:rPr>
          <w:sz w:val="24"/>
          <w:szCs w:val="24"/>
        </w:rPr>
        <w:t>τοποθ</w:t>
      </w:r>
      <w:proofErr w:type="spellEnd"/>
      <w:r>
        <w:rPr>
          <w:sz w:val="24"/>
          <w:szCs w:val="24"/>
        </w:rPr>
        <w:t>.)</w:t>
      </w:r>
      <w:r w:rsidR="00646581">
        <w:rPr>
          <w:sz w:val="24"/>
          <w:szCs w:val="24"/>
        </w:rPr>
        <w:t>.</w:t>
      </w:r>
    </w:p>
    <w:p w:rsidR="00646581" w:rsidRPr="007E7F64" w:rsidRDefault="00646581" w:rsidP="00311B33">
      <w:pPr>
        <w:jc w:val="both"/>
        <w:rPr>
          <w:sz w:val="24"/>
          <w:szCs w:val="24"/>
        </w:rPr>
      </w:pPr>
      <w:r>
        <w:rPr>
          <w:sz w:val="24"/>
          <w:szCs w:val="24"/>
        </w:rPr>
        <w:t>Τέλος, η πλειοψηφία των τοποθετήσεων αφορούσε τον ιδιωτικό τομέα (</w:t>
      </w:r>
      <w:r w:rsidR="00530634">
        <w:rPr>
          <w:sz w:val="24"/>
          <w:szCs w:val="24"/>
        </w:rPr>
        <w:t>2.858 τοποθετήσεις ή 86</w:t>
      </w:r>
      <w:r>
        <w:rPr>
          <w:sz w:val="24"/>
          <w:szCs w:val="24"/>
        </w:rPr>
        <w:t>%), ακολούθως τον δημόσιο τομέα (4</w:t>
      </w:r>
      <w:r w:rsidR="00530634">
        <w:rPr>
          <w:sz w:val="24"/>
          <w:szCs w:val="24"/>
        </w:rPr>
        <w:t>2</w:t>
      </w:r>
      <w:r>
        <w:rPr>
          <w:sz w:val="24"/>
          <w:szCs w:val="24"/>
        </w:rPr>
        <w:t>4 τοποθετήσεις ή 1</w:t>
      </w:r>
      <w:r w:rsidR="00530634">
        <w:rPr>
          <w:sz w:val="24"/>
          <w:szCs w:val="24"/>
        </w:rPr>
        <w:t>3</w:t>
      </w:r>
      <w:r>
        <w:rPr>
          <w:sz w:val="24"/>
          <w:szCs w:val="24"/>
        </w:rPr>
        <w:t>%) και τον ημικρατικό</w:t>
      </w:r>
      <w:r w:rsidR="00530634">
        <w:rPr>
          <w:sz w:val="24"/>
          <w:szCs w:val="24"/>
        </w:rPr>
        <w:t xml:space="preserve"> τομέα</w:t>
      </w:r>
      <w:r>
        <w:rPr>
          <w:sz w:val="24"/>
          <w:szCs w:val="24"/>
        </w:rPr>
        <w:t xml:space="preserve"> (</w:t>
      </w:r>
      <w:r w:rsidR="00530634">
        <w:rPr>
          <w:sz w:val="24"/>
          <w:szCs w:val="24"/>
        </w:rPr>
        <w:t>59</w:t>
      </w:r>
      <w:r>
        <w:rPr>
          <w:sz w:val="24"/>
          <w:szCs w:val="24"/>
        </w:rPr>
        <w:t xml:space="preserve"> τοποθετήσεις ή </w:t>
      </w:r>
      <w:r w:rsidR="00530634">
        <w:rPr>
          <w:sz w:val="24"/>
          <w:szCs w:val="24"/>
        </w:rPr>
        <w:t>2</w:t>
      </w:r>
      <w:r>
        <w:rPr>
          <w:sz w:val="24"/>
          <w:szCs w:val="24"/>
        </w:rPr>
        <w:t>%).</w:t>
      </w:r>
    </w:p>
    <w:p w:rsidR="003B5E2D" w:rsidRDefault="003B5E2D" w:rsidP="00311B33">
      <w:pPr>
        <w:jc w:val="both"/>
        <w:rPr>
          <w:sz w:val="24"/>
          <w:szCs w:val="24"/>
        </w:rPr>
      </w:pPr>
    </w:p>
    <w:p w:rsidR="009B0F9B" w:rsidRDefault="009B0F9B" w:rsidP="00311B33">
      <w:pPr>
        <w:jc w:val="both"/>
        <w:rPr>
          <w:sz w:val="24"/>
          <w:szCs w:val="24"/>
        </w:rPr>
      </w:pPr>
    </w:p>
    <w:p w:rsidR="001C51FF" w:rsidRDefault="001C51FF" w:rsidP="001C51FF">
      <w:pPr>
        <w:jc w:val="both"/>
        <w:rPr>
          <w:sz w:val="24"/>
          <w:szCs w:val="24"/>
        </w:rPr>
      </w:pPr>
    </w:p>
    <w:p w:rsidR="001C51FF" w:rsidRPr="00DA4A7C" w:rsidRDefault="001C51FF" w:rsidP="001C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70C0"/>
          <w:sz w:val="24"/>
          <w:szCs w:val="24"/>
          <w:u w:val="double"/>
        </w:rPr>
      </w:pPr>
      <w:r w:rsidRPr="00DA4A7C">
        <w:rPr>
          <w:b/>
          <w:color w:val="0070C0"/>
          <w:sz w:val="24"/>
          <w:szCs w:val="24"/>
          <w:u w:val="double"/>
        </w:rPr>
        <w:t>Σημείωση: Για τα Ετήσια Στατιστικά Στοιχεία Εγγεγραμμένης Ανεργίας, βλέπετε σχετικούς πίνακες στο ΜΕΡΟΣ Β’.</w:t>
      </w:r>
    </w:p>
    <w:p w:rsidR="001C51FF" w:rsidRDefault="001C51FF" w:rsidP="001C51FF">
      <w:pPr>
        <w:jc w:val="both"/>
        <w:rPr>
          <w:sz w:val="18"/>
          <w:szCs w:val="18"/>
        </w:rPr>
      </w:pPr>
    </w:p>
    <w:p w:rsidR="00292DDB" w:rsidRDefault="00292DDB" w:rsidP="00311B33">
      <w:pPr>
        <w:jc w:val="both"/>
        <w:rPr>
          <w:sz w:val="18"/>
          <w:szCs w:val="18"/>
        </w:rPr>
      </w:pPr>
    </w:p>
    <w:p w:rsidR="00292DDB" w:rsidRPr="00BF300C" w:rsidRDefault="00292DDB" w:rsidP="00311B33">
      <w:pPr>
        <w:jc w:val="both"/>
        <w:rPr>
          <w:sz w:val="18"/>
          <w:szCs w:val="18"/>
          <w:lang w:val="en-US"/>
        </w:rPr>
      </w:pPr>
    </w:p>
    <w:p w:rsidR="00292DDB" w:rsidRDefault="00292DDB" w:rsidP="00311B33">
      <w:pPr>
        <w:jc w:val="both"/>
        <w:rPr>
          <w:sz w:val="18"/>
          <w:szCs w:val="18"/>
        </w:rPr>
      </w:pPr>
    </w:p>
    <w:p w:rsidR="00292DDB" w:rsidRDefault="00292DDB" w:rsidP="00311B33">
      <w:pPr>
        <w:jc w:val="both"/>
        <w:rPr>
          <w:sz w:val="18"/>
          <w:szCs w:val="18"/>
        </w:rPr>
      </w:pPr>
    </w:p>
    <w:p w:rsidR="009B0F9B" w:rsidRPr="001C51FF" w:rsidRDefault="009B0F9B" w:rsidP="00311B33">
      <w:pPr>
        <w:jc w:val="both"/>
        <w:rPr>
          <w:sz w:val="18"/>
          <w:szCs w:val="18"/>
        </w:rPr>
      </w:pPr>
      <w:proofErr w:type="spellStart"/>
      <w:r w:rsidRPr="009B0F9B">
        <w:rPr>
          <w:sz w:val="18"/>
          <w:szCs w:val="18"/>
        </w:rPr>
        <w:t>ΜΡη</w:t>
      </w:r>
      <w:proofErr w:type="spellEnd"/>
      <w:r w:rsidRPr="001C51FF">
        <w:rPr>
          <w:sz w:val="18"/>
          <w:szCs w:val="18"/>
        </w:rPr>
        <w:t xml:space="preserve">, </w:t>
      </w:r>
      <w:r w:rsidR="001C51FF">
        <w:rPr>
          <w:sz w:val="18"/>
          <w:szCs w:val="18"/>
          <w:lang w:val="en-US"/>
        </w:rPr>
        <w:fldChar w:fldCharType="begin"/>
      </w:r>
      <w:r w:rsidR="001C51FF" w:rsidRPr="001C51FF">
        <w:rPr>
          <w:sz w:val="18"/>
          <w:szCs w:val="18"/>
        </w:rPr>
        <w:instrText xml:space="preserve"> </w:instrText>
      </w:r>
      <w:r w:rsidR="001C51FF">
        <w:rPr>
          <w:sz w:val="18"/>
          <w:szCs w:val="18"/>
          <w:lang w:val="en-US"/>
        </w:rPr>
        <w:instrText>FILENAME</w:instrText>
      </w:r>
      <w:r w:rsidR="001C51FF" w:rsidRPr="001C51FF">
        <w:rPr>
          <w:sz w:val="18"/>
          <w:szCs w:val="18"/>
        </w:rPr>
        <w:instrText xml:space="preserve">  \</w:instrText>
      </w:r>
      <w:r w:rsidR="001C51FF">
        <w:rPr>
          <w:sz w:val="18"/>
          <w:szCs w:val="18"/>
          <w:lang w:val="en-US"/>
        </w:rPr>
        <w:instrText>p</w:instrText>
      </w:r>
      <w:r w:rsidR="001C51FF" w:rsidRPr="001C51FF">
        <w:rPr>
          <w:sz w:val="18"/>
          <w:szCs w:val="18"/>
        </w:rPr>
        <w:instrText xml:space="preserve">  \* </w:instrText>
      </w:r>
      <w:r w:rsidR="001C51FF">
        <w:rPr>
          <w:sz w:val="18"/>
          <w:szCs w:val="18"/>
          <w:lang w:val="en-US"/>
        </w:rPr>
        <w:instrText>MERGEFORMAT</w:instrText>
      </w:r>
      <w:r w:rsidR="001C51FF" w:rsidRPr="001C51FF">
        <w:rPr>
          <w:sz w:val="18"/>
          <w:szCs w:val="18"/>
        </w:rPr>
        <w:instrText xml:space="preserve"> </w:instrText>
      </w:r>
      <w:r w:rsidR="001C51FF">
        <w:rPr>
          <w:sz w:val="18"/>
          <w:szCs w:val="18"/>
          <w:lang w:val="en-US"/>
        </w:rPr>
        <w:fldChar w:fldCharType="separate"/>
      </w:r>
      <w:r w:rsidR="001C51FF">
        <w:rPr>
          <w:noProof/>
          <w:sz w:val="18"/>
          <w:szCs w:val="18"/>
          <w:lang w:val="en-US"/>
        </w:rPr>
        <w:t>C</w:t>
      </w:r>
      <w:r w:rsidR="001C51FF" w:rsidRPr="001C51FF">
        <w:rPr>
          <w:noProof/>
          <w:sz w:val="18"/>
          <w:szCs w:val="18"/>
        </w:rPr>
        <w:t>:\</w:t>
      </w:r>
      <w:r w:rsidR="001C51FF">
        <w:rPr>
          <w:noProof/>
          <w:sz w:val="18"/>
          <w:szCs w:val="18"/>
          <w:lang w:val="en-US"/>
        </w:rPr>
        <w:t>Users</w:t>
      </w:r>
      <w:r w:rsidR="001C51FF" w:rsidRPr="001C51FF">
        <w:rPr>
          <w:noProof/>
          <w:sz w:val="18"/>
          <w:szCs w:val="18"/>
        </w:rPr>
        <w:t>\</w:t>
      </w:r>
      <w:r w:rsidR="001C51FF">
        <w:rPr>
          <w:noProof/>
          <w:sz w:val="18"/>
          <w:szCs w:val="18"/>
          <w:lang w:val="en-US"/>
        </w:rPr>
        <w:t>Administrator</w:t>
      </w:r>
      <w:r w:rsidR="001C51FF" w:rsidRPr="001C51FF">
        <w:rPr>
          <w:noProof/>
          <w:sz w:val="18"/>
          <w:szCs w:val="18"/>
        </w:rPr>
        <w:t>\</w:t>
      </w:r>
      <w:r w:rsidR="001C51FF">
        <w:rPr>
          <w:noProof/>
          <w:sz w:val="18"/>
          <w:szCs w:val="18"/>
          <w:lang w:val="en-US"/>
        </w:rPr>
        <w:t>M</w:t>
      </w:r>
      <w:r w:rsidR="001C51FF" w:rsidRPr="001C51FF">
        <w:rPr>
          <w:noProof/>
          <w:sz w:val="18"/>
          <w:szCs w:val="18"/>
        </w:rPr>
        <w:t xml:space="preserve"> </w:t>
      </w:r>
      <w:r w:rsidR="001C51FF">
        <w:rPr>
          <w:noProof/>
          <w:sz w:val="18"/>
          <w:szCs w:val="18"/>
          <w:lang w:val="en-US"/>
        </w:rPr>
        <w:t>RIGOU</w:t>
      </w:r>
      <w:r w:rsidR="001C51FF" w:rsidRPr="001C51FF">
        <w:rPr>
          <w:noProof/>
          <w:sz w:val="18"/>
          <w:szCs w:val="18"/>
        </w:rPr>
        <w:t>\</w:t>
      </w:r>
      <w:r w:rsidR="001C51FF">
        <w:rPr>
          <w:noProof/>
          <w:sz w:val="18"/>
          <w:szCs w:val="18"/>
          <w:lang w:val="en-US"/>
        </w:rPr>
        <w:t>Data</w:t>
      </w:r>
      <w:r w:rsidR="001C51FF" w:rsidRPr="001C51FF">
        <w:rPr>
          <w:noProof/>
          <w:sz w:val="18"/>
          <w:szCs w:val="18"/>
        </w:rPr>
        <w:t xml:space="preserve"> </w:t>
      </w:r>
      <w:r w:rsidR="001C51FF">
        <w:rPr>
          <w:noProof/>
          <w:sz w:val="18"/>
          <w:szCs w:val="18"/>
          <w:lang w:val="en-US"/>
        </w:rPr>
        <w:t>Year</w:t>
      </w:r>
      <w:r w:rsidR="001C51FF" w:rsidRPr="001C51FF">
        <w:rPr>
          <w:noProof/>
          <w:sz w:val="18"/>
          <w:szCs w:val="18"/>
        </w:rPr>
        <w:t xml:space="preserve"> </w:t>
      </w:r>
      <w:r w:rsidR="001C51FF">
        <w:rPr>
          <w:noProof/>
          <w:sz w:val="18"/>
          <w:szCs w:val="18"/>
          <w:lang w:val="en-US"/>
        </w:rPr>
        <w:t>Series</w:t>
      </w:r>
      <w:r w:rsidR="001C51FF" w:rsidRPr="001C51FF">
        <w:rPr>
          <w:noProof/>
          <w:sz w:val="18"/>
          <w:szCs w:val="18"/>
        </w:rPr>
        <w:t xml:space="preserve"> </w:t>
      </w:r>
      <w:r w:rsidR="001C51FF">
        <w:rPr>
          <w:noProof/>
          <w:sz w:val="18"/>
          <w:szCs w:val="18"/>
          <w:lang w:val="en-US"/>
        </w:rPr>
        <w:t>M</w:t>
      </w:r>
      <w:r w:rsidR="001C51FF" w:rsidRPr="001C51FF">
        <w:rPr>
          <w:noProof/>
          <w:sz w:val="18"/>
          <w:szCs w:val="18"/>
        </w:rPr>
        <w:t xml:space="preserve"> </w:t>
      </w:r>
      <w:r w:rsidR="001C51FF">
        <w:rPr>
          <w:noProof/>
          <w:sz w:val="18"/>
          <w:szCs w:val="18"/>
          <w:lang w:val="en-US"/>
        </w:rPr>
        <w:t>Rigou</w:t>
      </w:r>
      <w:r w:rsidR="001C51FF" w:rsidRPr="001C51FF">
        <w:rPr>
          <w:noProof/>
          <w:sz w:val="18"/>
          <w:szCs w:val="18"/>
        </w:rPr>
        <w:t>\2019 Ετήσια Έκθεση στατιστικά Παρατηρητηρίου.</w:t>
      </w:r>
      <w:r w:rsidR="001C51FF">
        <w:rPr>
          <w:noProof/>
          <w:sz w:val="18"/>
          <w:szCs w:val="18"/>
          <w:lang w:val="en-US"/>
        </w:rPr>
        <w:t>docx</w:t>
      </w:r>
      <w:r w:rsidR="001C51FF">
        <w:rPr>
          <w:sz w:val="18"/>
          <w:szCs w:val="18"/>
          <w:lang w:val="en-US"/>
        </w:rPr>
        <w:fldChar w:fldCharType="end"/>
      </w:r>
    </w:p>
    <w:sectPr w:rsidR="009B0F9B" w:rsidRPr="001C51FF" w:rsidSect="001D7AF9">
      <w:footerReference w:type="default" r:id="rId12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DA" w:rsidRDefault="003871DA" w:rsidP="00311B33">
      <w:pPr>
        <w:spacing w:after="0" w:line="240" w:lineRule="auto"/>
      </w:pPr>
      <w:r>
        <w:separator/>
      </w:r>
    </w:p>
  </w:endnote>
  <w:endnote w:type="continuationSeparator" w:id="0">
    <w:p w:rsidR="003871DA" w:rsidRDefault="003871DA" w:rsidP="0031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365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3F0" w:rsidRDefault="008843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1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B33" w:rsidRDefault="00311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DA" w:rsidRDefault="003871DA" w:rsidP="00311B33">
      <w:pPr>
        <w:spacing w:after="0" w:line="240" w:lineRule="auto"/>
      </w:pPr>
      <w:r>
        <w:separator/>
      </w:r>
    </w:p>
  </w:footnote>
  <w:footnote w:type="continuationSeparator" w:id="0">
    <w:p w:rsidR="003871DA" w:rsidRDefault="003871DA" w:rsidP="00311B33">
      <w:pPr>
        <w:spacing w:after="0" w:line="240" w:lineRule="auto"/>
      </w:pPr>
      <w:r>
        <w:continuationSeparator/>
      </w:r>
    </w:p>
  </w:footnote>
  <w:footnote w:id="1">
    <w:p w:rsidR="009543B0" w:rsidRPr="009543B0" w:rsidRDefault="009543B0">
      <w:pPr>
        <w:pStyle w:val="FootnoteText"/>
      </w:pPr>
      <w:r>
        <w:rPr>
          <w:rStyle w:val="FootnoteReference"/>
        </w:rPr>
        <w:footnoteRef/>
      </w:r>
      <w:r>
        <w:t xml:space="preserve"> Στοιχεία Έρευνας Εργατικού Δυναμικού</w:t>
      </w:r>
    </w:p>
  </w:footnote>
  <w:footnote w:id="2">
    <w:p w:rsidR="006E30B0" w:rsidRDefault="006E30B0">
      <w:pPr>
        <w:pStyle w:val="FootnoteText"/>
      </w:pPr>
      <w:r>
        <w:rPr>
          <w:rStyle w:val="FootnoteReference"/>
        </w:rPr>
        <w:footnoteRef/>
      </w:r>
      <w:r>
        <w:t xml:space="preserve"> Στοιχεία Εγγεγραμμένης Ανεργίας από Δημόσι</w:t>
      </w:r>
      <w:r w:rsidR="00FE1F62">
        <w:t>α</w:t>
      </w:r>
      <w:r>
        <w:t xml:space="preserve"> </w:t>
      </w:r>
      <w:r w:rsidR="00FE1F62">
        <w:t>Υπηρεσία Απασχόλησης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FB0"/>
    <w:multiLevelType w:val="hybridMultilevel"/>
    <w:tmpl w:val="65748C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8F766C2"/>
    <w:multiLevelType w:val="hybridMultilevel"/>
    <w:tmpl w:val="8A60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5EEB"/>
    <w:multiLevelType w:val="hybridMultilevel"/>
    <w:tmpl w:val="56F2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F4754"/>
    <w:multiLevelType w:val="hybridMultilevel"/>
    <w:tmpl w:val="8A60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06B0B"/>
    <w:multiLevelType w:val="hybridMultilevel"/>
    <w:tmpl w:val="A7FA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86BEB"/>
    <w:multiLevelType w:val="hybridMultilevel"/>
    <w:tmpl w:val="55FC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71"/>
    <w:rsid w:val="000042AC"/>
    <w:rsid w:val="000556BC"/>
    <w:rsid w:val="00056492"/>
    <w:rsid w:val="00090378"/>
    <w:rsid w:val="000F3A23"/>
    <w:rsid w:val="0010268B"/>
    <w:rsid w:val="001326CC"/>
    <w:rsid w:val="00170634"/>
    <w:rsid w:val="001C40FA"/>
    <w:rsid w:val="001C51FF"/>
    <w:rsid w:val="001C7029"/>
    <w:rsid w:val="001D3983"/>
    <w:rsid w:val="001D7AF9"/>
    <w:rsid w:val="00203875"/>
    <w:rsid w:val="0022643D"/>
    <w:rsid w:val="0027016F"/>
    <w:rsid w:val="00283AC7"/>
    <w:rsid w:val="00292DDB"/>
    <w:rsid w:val="002C7E58"/>
    <w:rsid w:val="00306ADA"/>
    <w:rsid w:val="00311B33"/>
    <w:rsid w:val="00346A4A"/>
    <w:rsid w:val="003871DA"/>
    <w:rsid w:val="003A168A"/>
    <w:rsid w:val="003B5E2D"/>
    <w:rsid w:val="003F24FA"/>
    <w:rsid w:val="003F4FD8"/>
    <w:rsid w:val="004138E4"/>
    <w:rsid w:val="00444484"/>
    <w:rsid w:val="00477AAD"/>
    <w:rsid w:val="00483859"/>
    <w:rsid w:val="004841E5"/>
    <w:rsid w:val="004C4953"/>
    <w:rsid w:val="004D2515"/>
    <w:rsid w:val="00506BB8"/>
    <w:rsid w:val="00525013"/>
    <w:rsid w:val="00530634"/>
    <w:rsid w:val="00537B5E"/>
    <w:rsid w:val="0054157C"/>
    <w:rsid w:val="00556546"/>
    <w:rsid w:val="005753C7"/>
    <w:rsid w:val="00583829"/>
    <w:rsid w:val="00646581"/>
    <w:rsid w:val="00656B79"/>
    <w:rsid w:val="006A6D8C"/>
    <w:rsid w:val="006D7F00"/>
    <w:rsid w:val="006E30B0"/>
    <w:rsid w:val="00732205"/>
    <w:rsid w:val="00752829"/>
    <w:rsid w:val="00773680"/>
    <w:rsid w:val="007A5FD5"/>
    <w:rsid w:val="007A7236"/>
    <w:rsid w:val="007B2FE8"/>
    <w:rsid w:val="007C6ACD"/>
    <w:rsid w:val="007E7F64"/>
    <w:rsid w:val="00825C4A"/>
    <w:rsid w:val="00833337"/>
    <w:rsid w:val="008343BB"/>
    <w:rsid w:val="008360AB"/>
    <w:rsid w:val="008843F0"/>
    <w:rsid w:val="008E38ED"/>
    <w:rsid w:val="00900390"/>
    <w:rsid w:val="00923904"/>
    <w:rsid w:val="00933CF3"/>
    <w:rsid w:val="009543B0"/>
    <w:rsid w:val="009A3EAF"/>
    <w:rsid w:val="009B0234"/>
    <w:rsid w:val="009B0F9B"/>
    <w:rsid w:val="009B7BBA"/>
    <w:rsid w:val="009C05B8"/>
    <w:rsid w:val="00A02D28"/>
    <w:rsid w:val="00A11D46"/>
    <w:rsid w:val="00A133EC"/>
    <w:rsid w:val="00A152BB"/>
    <w:rsid w:val="00A1774A"/>
    <w:rsid w:val="00A30F7E"/>
    <w:rsid w:val="00A51731"/>
    <w:rsid w:val="00AC2823"/>
    <w:rsid w:val="00B03741"/>
    <w:rsid w:val="00B339A0"/>
    <w:rsid w:val="00B55EF6"/>
    <w:rsid w:val="00B70D48"/>
    <w:rsid w:val="00B76ED8"/>
    <w:rsid w:val="00B870BD"/>
    <w:rsid w:val="00B92C8A"/>
    <w:rsid w:val="00BF300C"/>
    <w:rsid w:val="00C10D88"/>
    <w:rsid w:val="00CA2BA9"/>
    <w:rsid w:val="00CB64E2"/>
    <w:rsid w:val="00D3001D"/>
    <w:rsid w:val="00D32BBF"/>
    <w:rsid w:val="00D43CD9"/>
    <w:rsid w:val="00D47D52"/>
    <w:rsid w:val="00D9690C"/>
    <w:rsid w:val="00DA28E1"/>
    <w:rsid w:val="00DC2971"/>
    <w:rsid w:val="00DD01B4"/>
    <w:rsid w:val="00DF59CD"/>
    <w:rsid w:val="00E15797"/>
    <w:rsid w:val="00E22264"/>
    <w:rsid w:val="00E264AF"/>
    <w:rsid w:val="00E32E94"/>
    <w:rsid w:val="00E45C8D"/>
    <w:rsid w:val="00E8050F"/>
    <w:rsid w:val="00E94006"/>
    <w:rsid w:val="00EC25BD"/>
    <w:rsid w:val="00EE1F0D"/>
    <w:rsid w:val="00EE2751"/>
    <w:rsid w:val="00F412F6"/>
    <w:rsid w:val="00F419DB"/>
    <w:rsid w:val="00F46A6B"/>
    <w:rsid w:val="00F76C48"/>
    <w:rsid w:val="00FB0C94"/>
    <w:rsid w:val="00FE1F62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3875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03875"/>
  </w:style>
  <w:style w:type="paragraph" w:styleId="Header">
    <w:name w:val="header"/>
    <w:basedOn w:val="Normal"/>
    <w:link w:val="HeaderChar"/>
    <w:uiPriority w:val="99"/>
    <w:unhideWhenUsed/>
    <w:rsid w:val="00311B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33"/>
  </w:style>
  <w:style w:type="paragraph" w:styleId="Footer">
    <w:name w:val="footer"/>
    <w:basedOn w:val="Normal"/>
    <w:link w:val="FooterChar"/>
    <w:uiPriority w:val="99"/>
    <w:unhideWhenUsed/>
    <w:rsid w:val="00311B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33"/>
  </w:style>
  <w:style w:type="paragraph" w:styleId="FootnoteText">
    <w:name w:val="footnote text"/>
    <w:basedOn w:val="Normal"/>
    <w:link w:val="FootnoteTextChar"/>
    <w:uiPriority w:val="99"/>
    <w:semiHidden/>
    <w:unhideWhenUsed/>
    <w:rsid w:val="009543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3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3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D7AF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D7AF9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D7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D7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D7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3875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03875"/>
  </w:style>
  <w:style w:type="paragraph" w:styleId="Header">
    <w:name w:val="header"/>
    <w:basedOn w:val="Normal"/>
    <w:link w:val="HeaderChar"/>
    <w:uiPriority w:val="99"/>
    <w:unhideWhenUsed/>
    <w:rsid w:val="00311B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33"/>
  </w:style>
  <w:style w:type="paragraph" w:styleId="Footer">
    <w:name w:val="footer"/>
    <w:basedOn w:val="Normal"/>
    <w:link w:val="FooterChar"/>
    <w:uiPriority w:val="99"/>
    <w:unhideWhenUsed/>
    <w:rsid w:val="00311B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33"/>
  </w:style>
  <w:style w:type="paragraph" w:styleId="FootnoteText">
    <w:name w:val="footnote text"/>
    <w:basedOn w:val="Normal"/>
    <w:link w:val="FootnoteTextChar"/>
    <w:uiPriority w:val="99"/>
    <w:semiHidden/>
    <w:unhideWhenUsed/>
    <w:rsid w:val="009543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3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3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D7AF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D7AF9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D7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D7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D7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Data%20Year%20Series%20M%20Rigou\&#948;&#953;&#940;&#947;&#961;&#945;&#956;&#956;&#945;%202%20unemployment%20by%20dur%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l-GR" sz="1000" b="1" i="0" u="none" strike="noStrike" baseline="0">
                <a:effectLst/>
              </a:rPr>
              <a:t>Διάγραμμα 1</a:t>
            </a:r>
            <a:r>
              <a:rPr lang="en-US" sz="1000" b="1" i="0" u="none" strike="noStrike" baseline="0">
                <a:effectLst/>
              </a:rPr>
              <a:t>:</a:t>
            </a:r>
            <a:r>
              <a:rPr lang="el-GR" sz="1000" b="1" i="0" u="none" strike="noStrike" baseline="0">
                <a:effectLst/>
              </a:rPr>
              <a:t> </a:t>
            </a:r>
            <a:r>
              <a:rPr lang="el-GR"/>
              <a:t>Εγγεγραμμένη Ανεργία κατά μήνα τα χρόνια 2017-2019
</a:t>
            </a:r>
          </a:p>
        </c:rich>
      </c:tx>
      <c:layout>
        <c:manualLayout>
          <c:xMode val="edge"/>
          <c:yMode val="edge"/>
          <c:x val="0.11542719614921781"/>
          <c:y val="2.716003853948636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741427029714817"/>
          <c:y val="0.14885573362303442"/>
          <c:w val="0.67225915012157667"/>
          <c:h val="0.51343178669189971"/>
        </c:manualLayout>
      </c:layout>
      <c:lineChart>
        <c:grouping val="standard"/>
        <c:varyColors val="0"/>
        <c:ser>
          <c:idx val="3"/>
          <c:order val="0"/>
          <c:tx>
            <c:strRef>
              <c:f>'Πίνακας 1'!$R$5</c:f>
              <c:strCache>
                <c:ptCount val="1"/>
                <c:pt idx="0">
                  <c:v>2019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pPr>
              <a:solidFill>
                <a:srgbClr val="666699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'Πίνακας 1'!$O$6:$O$17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'Πίνακας 1'!$R$6:$R$17</c:f>
              <c:numCache>
                <c:formatCode>#,##0</c:formatCode>
                <c:ptCount val="12"/>
                <c:pt idx="0">
                  <c:v>30951</c:v>
                </c:pt>
                <c:pt idx="1">
                  <c:v>29751</c:v>
                </c:pt>
                <c:pt idx="2">
                  <c:v>26508</c:v>
                </c:pt>
                <c:pt idx="3">
                  <c:v>20315</c:v>
                </c:pt>
                <c:pt idx="4">
                  <c:v>17607</c:v>
                </c:pt>
                <c:pt idx="5">
                  <c:v>18960</c:v>
                </c:pt>
                <c:pt idx="6">
                  <c:v>20582</c:v>
                </c:pt>
                <c:pt idx="7">
                  <c:v>19883</c:v>
                </c:pt>
                <c:pt idx="8">
                  <c:v>16968</c:v>
                </c:pt>
                <c:pt idx="9">
                  <c:v>16544</c:v>
                </c:pt>
                <c:pt idx="10">
                  <c:v>24495</c:v>
                </c:pt>
                <c:pt idx="11">
                  <c:v>25285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'Πίνακας 1'!$Q$5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Pt>
            <c:idx val="10"/>
            <c:bubble3D val="0"/>
          </c:dPt>
          <c:cat>
            <c:strRef>
              <c:f>'Πίνακας 1'!$O$6:$O$17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'Πίνακας 1'!$Q$6:$Q$17</c:f>
              <c:numCache>
                <c:formatCode>#,##0</c:formatCode>
                <c:ptCount val="12"/>
                <c:pt idx="0">
                  <c:v>35989</c:v>
                </c:pt>
                <c:pt idx="1">
                  <c:v>34204</c:v>
                </c:pt>
                <c:pt idx="2">
                  <c:v>30616</c:v>
                </c:pt>
                <c:pt idx="3">
                  <c:v>24903</c:v>
                </c:pt>
                <c:pt idx="4">
                  <c:v>22839</c:v>
                </c:pt>
                <c:pt idx="5">
                  <c:v>23808</c:v>
                </c:pt>
                <c:pt idx="6">
                  <c:v>24803</c:v>
                </c:pt>
                <c:pt idx="7">
                  <c:v>23866</c:v>
                </c:pt>
                <c:pt idx="8">
                  <c:v>21399</c:v>
                </c:pt>
                <c:pt idx="9">
                  <c:v>20447</c:v>
                </c:pt>
                <c:pt idx="10">
                  <c:v>28514</c:v>
                </c:pt>
                <c:pt idx="11">
                  <c:v>29800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'Πίνακας 1'!$P$5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'Πίνακας 1'!$O$6:$O$17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'Πίνακας 1'!$P$6:$P$17</c:f>
              <c:numCache>
                <c:formatCode>#,##0</c:formatCode>
                <c:ptCount val="12"/>
                <c:pt idx="0">
                  <c:v>42839</c:v>
                </c:pt>
                <c:pt idx="1">
                  <c:v>42326</c:v>
                </c:pt>
                <c:pt idx="2">
                  <c:v>39088</c:v>
                </c:pt>
                <c:pt idx="3">
                  <c:v>32804</c:v>
                </c:pt>
                <c:pt idx="4">
                  <c:v>29922</c:v>
                </c:pt>
                <c:pt idx="5">
                  <c:v>30577</c:v>
                </c:pt>
                <c:pt idx="6">
                  <c:v>31670</c:v>
                </c:pt>
                <c:pt idx="7">
                  <c:v>31003</c:v>
                </c:pt>
                <c:pt idx="8">
                  <c:v>27951</c:v>
                </c:pt>
                <c:pt idx="9">
                  <c:v>26436</c:v>
                </c:pt>
                <c:pt idx="10">
                  <c:v>33780</c:v>
                </c:pt>
                <c:pt idx="11">
                  <c:v>35771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727360"/>
        <c:axId val="208769024"/>
      </c:lineChart>
      <c:catAx>
        <c:axId val="19972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08769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8769024"/>
        <c:scaling>
          <c:orientation val="minMax"/>
          <c:min val="9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997273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924046485774141"/>
          <c:y val="0.19417543680826305"/>
          <c:w val="0.11065027811215045"/>
          <c:h val="0.5566360030238939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200" b="1" i="0" u="none" strike="noStrike" baseline="0">
                <a:effectLst/>
              </a:rPr>
              <a:t>Διάγραμμα 2</a:t>
            </a:r>
            <a:r>
              <a:rPr lang="en-US" sz="1200" b="1" i="0" u="none" strike="noStrike" baseline="0">
                <a:effectLst/>
              </a:rPr>
              <a:t>:</a:t>
            </a:r>
            <a:r>
              <a:rPr lang="el-GR" sz="1200" b="1" i="0" u="none" strike="noStrike" baseline="0">
                <a:effectLst/>
              </a:rPr>
              <a:t> </a:t>
            </a:r>
            <a:r>
              <a:rPr lang="el-GR"/>
              <a:t>Ποσοστιαία κατανομή εγγεγραμμένων ανέργων κατά διάρκεια ανεργίας το 2018 και 2019
</a:t>
            </a:r>
          </a:p>
        </c:rich>
      </c:tx>
      <c:layout>
        <c:manualLayout>
          <c:xMode val="edge"/>
          <c:yMode val="edge"/>
          <c:x val="0.11475405502369759"/>
          <c:y val="3.416154485391520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2927215266922783E-2"/>
          <c:y val="0.23700112721019595"/>
          <c:w val="0.79015382817407565"/>
          <c:h val="0.57622425723430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'Πινακας 6'!$K$15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el-GR"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'Πινακας 6'!$J$16:$J$20</c:f>
              <c:strCache>
                <c:ptCount val="5"/>
                <c:pt idx="0">
                  <c:v>κάτω από 15 μέρες</c:v>
                </c:pt>
                <c:pt idx="1">
                  <c:v>από 15 μέρες μέχρι 3 μήνες</c:v>
                </c:pt>
                <c:pt idx="2">
                  <c:v>από 3 μήνες μέχρι 6 μήνες</c:v>
                </c:pt>
                <c:pt idx="3">
                  <c:v>από  6 μήνες μέχρι 12 μήνες</c:v>
                </c:pt>
                <c:pt idx="4">
                  <c:v>πάνω από 12 μήνες</c:v>
                </c:pt>
              </c:strCache>
            </c:strRef>
          </c:cat>
          <c:val>
            <c:numRef>
              <c:f>'Πινακας 6'!$K$16:$K$20</c:f>
              <c:numCache>
                <c:formatCode>0%</c:formatCode>
                <c:ptCount val="5"/>
                <c:pt idx="0">
                  <c:v>7.5583784793573694E-2</c:v>
                </c:pt>
                <c:pt idx="1">
                  <c:v>0.33222492060526809</c:v>
                </c:pt>
                <c:pt idx="2">
                  <c:v>0.18677377171679432</c:v>
                </c:pt>
                <c:pt idx="3">
                  <c:v>0.13356996076966188</c:v>
                </c:pt>
                <c:pt idx="4">
                  <c:v>0.27184756211470201</c:v>
                </c:pt>
              </c:numCache>
            </c:numRef>
          </c:val>
        </c:ser>
        <c:ser>
          <c:idx val="1"/>
          <c:order val="1"/>
          <c:tx>
            <c:strRef>
              <c:f>'Πινακας 6'!$L$15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el-GR"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'Πινακας 6'!$J$16:$J$20</c:f>
              <c:strCache>
                <c:ptCount val="5"/>
                <c:pt idx="0">
                  <c:v>κάτω από 15 μέρες</c:v>
                </c:pt>
                <c:pt idx="1">
                  <c:v>από 15 μέρες μέχρι 3 μήνες</c:v>
                </c:pt>
                <c:pt idx="2">
                  <c:v>από 3 μήνες μέχρι 6 μήνες</c:v>
                </c:pt>
                <c:pt idx="3">
                  <c:v>από  6 μήνες μέχρι 12 μήνες</c:v>
                </c:pt>
                <c:pt idx="4">
                  <c:v>πάνω από 12 μήνες</c:v>
                </c:pt>
              </c:strCache>
            </c:strRef>
          </c:cat>
          <c:val>
            <c:numRef>
              <c:f>'Πινακας 6'!$L$16:$L$20</c:f>
              <c:numCache>
                <c:formatCode>0%</c:formatCode>
                <c:ptCount val="5"/>
                <c:pt idx="0">
                  <c:v>7.3473410689485236E-2</c:v>
                </c:pt>
                <c:pt idx="1">
                  <c:v>0.36790466376954439</c:v>
                </c:pt>
                <c:pt idx="2">
                  <c:v>0.22042023206845571</c:v>
                </c:pt>
                <c:pt idx="3">
                  <c:v>0.14269073966220153</c:v>
                </c:pt>
                <c:pt idx="4">
                  <c:v>0.19551095381031317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182720"/>
        <c:axId val="231243776"/>
      </c:barChart>
      <c:catAx>
        <c:axId val="20918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el-GR"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31243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12437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091827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l-GR" sz="65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81C676-C4E9-4E7C-AAFB-2B1979E5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ΕΤΗΣΙΑ ΕΚΘΕΣΗ ΕΓΓΕΓΡΑΜΜΕΝΗΣ ΑΝΕΡΓΙΑΣ</vt:lpstr>
    </vt:vector>
  </TitlesOfParts>
  <Company>Hewlett-Packard Company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ΕΤΗΣΙΑ ΕΚΘΕΣΗ ΕΓΓΕΓΡΑΜΜΕΝΗΣ ΑΝΕΡΓΙΑΣ</dc:title>
  <dc:subject>ΚΑΙ ΕΤΗΣΙΑ ΣΤΑΤΙΣΤΙΚΑ ΣΤΟΙΧΕΙΑ</dc:subject>
  <dc:creator>Administrator</dc:creator>
  <cp:lastModifiedBy>Administrator</cp:lastModifiedBy>
  <cp:revision>30</cp:revision>
  <cp:lastPrinted>2019-04-17T07:11:00Z</cp:lastPrinted>
  <dcterms:created xsi:type="dcterms:W3CDTF">2020-06-23T11:51:00Z</dcterms:created>
  <dcterms:modified xsi:type="dcterms:W3CDTF">2020-06-24T09:38:00Z</dcterms:modified>
</cp:coreProperties>
</file>